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363"/>
        <w:rPr>
          <w:rFonts w:ascii="Times New Roman"/>
          <w:sz w:val="36"/>
        </w:rPr>
      </w:pPr>
    </w:p>
    <w:p>
      <w:pPr>
        <w:pStyle w:val="Heading1"/>
        <w:ind w:left="402"/>
      </w:pPr>
      <w:r>
        <w:rPr>
          <w:color w:val="221F1F"/>
        </w:rPr>
        <w:t>Do</w:t>
      </w:r>
      <w:r>
        <w:rPr>
          <w:color w:val="221F1F"/>
          <w:spacing w:val="-3"/>
        </w:rPr>
        <w:t> </w:t>
      </w:r>
      <w:r>
        <w:rPr>
          <w:color w:val="221F1F"/>
        </w:rPr>
        <w:t>I</w:t>
      </w:r>
      <w:r>
        <w:rPr>
          <w:color w:val="221F1F"/>
          <w:spacing w:val="-3"/>
        </w:rPr>
        <w:t> </w:t>
      </w:r>
      <w:r>
        <w:rPr>
          <w:color w:val="221F1F"/>
          <w:spacing w:val="-2"/>
        </w:rPr>
        <w:t>qualify?</w:t>
      </w:r>
    </w:p>
    <w:p>
      <w:pPr>
        <w:pStyle w:val="Title"/>
      </w:pPr>
      <w:r>
        <w:rPr>
          <w:b w:val="0"/>
        </w:rPr>
        <w:br w:type="column"/>
      </w:r>
      <w:r>
        <w:rPr>
          <w:color w:val="221F1F"/>
          <w:spacing w:val="-6"/>
        </w:rPr>
        <w:t>Pre-</w:t>
      </w:r>
      <w:r>
        <w:rPr>
          <w:color w:val="221F1F"/>
          <w:spacing w:val="-5"/>
        </w:rPr>
        <w:t>ETS</w:t>
      </w:r>
    </w:p>
    <w:p>
      <w:pPr>
        <w:spacing w:after="0"/>
        <w:sectPr>
          <w:type w:val="continuous"/>
          <w:pgSz w:w="6120" w:h="13320"/>
          <w:pgMar w:top="320" w:bottom="280" w:left="300" w:right="220"/>
          <w:cols w:num="2" w:equalWidth="0">
            <w:col w:w="2349" w:space="40"/>
            <w:col w:w="3211"/>
          </w:cols>
        </w:sectPr>
      </w:pPr>
    </w:p>
    <w:p>
      <w:pPr>
        <w:pStyle w:val="ListParagraph"/>
        <w:numPr>
          <w:ilvl w:val="0"/>
          <w:numId w:val="1"/>
        </w:numPr>
        <w:tabs>
          <w:tab w:pos="405" w:val="left" w:leader="none"/>
          <w:tab w:pos="429" w:val="left" w:leader="none"/>
        </w:tabs>
        <w:spacing w:line="242" w:lineRule="auto" w:before="30" w:after="0"/>
        <w:ind w:left="429" w:right="1103" w:hanging="280"/>
        <w:jc w:val="left"/>
        <w:rPr>
          <w:sz w:val="28"/>
        </w:rPr>
      </w:pPr>
      <w:r>
        <w:rPr>
          <w:color w:val="221F1F"/>
          <w:sz w:val="28"/>
        </w:rPr>
        <w:t>Must</w:t>
      </w:r>
      <w:r>
        <w:rPr>
          <w:color w:val="221F1F"/>
          <w:spacing w:val="-6"/>
          <w:sz w:val="28"/>
        </w:rPr>
        <w:t> </w:t>
      </w:r>
      <w:r>
        <w:rPr>
          <w:color w:val="221F1F"/>
          <w:sz w:val="28"/>
        </w:rPr>
        <w:t>be</w:t>
      </w:r>
      <w:r>
        <w:rPr>
          <w:color w:val="221F1F"/>
          <w:spacing w:val="-6"/>
          <w:sz w:val="28"/>
        </w:rPr>
        <w:t> </w:t>
      </w:r>
      <w:r>
        <w:rPr>
          <w:color w:val="221F1F"/>
          <w:sz w:val="28"/>
        </w:rPr>
        <w:t>enrolled</w:t>
      </w:r>
      <w:r>
        <w:rPr>
          <w:color w:val="221F1F"/>
          <w:spacing w:val="-6"/>
          <w:sz w:val="28"/>
        </w:rPr>
        <w:t> </w:t>
      </w:r>
      <w:r>
        <w:rPr>
          <w:color w:val="221F1F"/>
          <w:sz w:val="28"/>
        </w:rPr>
        <w:t>in</w:t>
      </w:r>
      <w:r>
        <w:rPr>
          <w:color w:val="221F1F"/>
          <w:spacing w:val="-6"/>
          <w:sz w:val="28"/>
        </w:rPr>
        <w:t> </w:t>
      </w:r>
      <w:r>
        <w:rPr>
          <w:color w:val="221F1F"/>
          <w:sz w:val="28"/>
        </w:rPr>
        <w:t>a</w:t>
      </w:r>
      <w:r>
        <w:rPr>
          <w:color w:val="221F1F"/>
          <w:spacing w:val="-6"/>
          <w:sz w:val="28"/>
        </w:rPr>
        <w:t> </w:t>
      </w:r>
      <w:r>
        <w:rPr>
          <w:color w:val="221F1F"/>
          <w:sz w:val="28"/>
        </w:rPr>
        <w:t>secondary</w:t>
      </w:r>
      <w:r>
        <w:rPr>
          <w:color w:val="221F1F"/>
          <w:spacing w:val="-7"/>
          <w:sz w:val="28"/>
        </w:rPr>
        <w:t> </w:t>
      </w:r>
      <w:r>
        <w:rPr>
          <w:color w:val="221F1F"/>
          <w:sz w:val="28"/>
        </w:rPr>
        <w:t>or postsecondary program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316" w:lineRule="exact" w:before="0" w:after="0"/>
        <w:ind w:left="405" w:right="0" w:hanging="256"/>
        <w:jc w:val="left"/>
        <w:rPr>
          <w:sz w:val="28"/>
        </w:rPr>
      </w:pPr>
      <w:r>
        <w:rPr>
          <w:color w:val="221F1F"/>
          <w:sz w:val="28"/>
        </w:rPr>
        <w:t>Between</w:t>
      </w:r>
      <w:r>
        <w:rPr>
          <w:color w:val="221F1F"/>
          <w:spacing w:val="-7"/>
          <w:sz w:val="28"/>
        </w:rPr>
        <w:t> </w:t>
      </w:r>
      <w:r>
        <w:rPr>
          <w:color w:val="221F1F"/>
          <w:sz w:val="28"/>
        </w:rPr>
        <w:t>the</w:t>
      </w:r>
      <w:r>
        <w:rPr>
          <w:color w:val="221F1F"/>
          <w:spacing w:val="-5"/>
          <w:sz w:val="28"/>
        </w:rPr>
        <w:t> </w:t>
      </w:r>
      <w:r>
        <w:rPr>
          <w:color w:val="221F1F"/>
          <w:sz w:val="28"/>
        </w:rPr>
        <w:t>ages</w:t>
      </w:r>
      <w:r>
        <w:rPr>
          <w:color w:val="221F1F"/>
          <w:spacing w:val="-5"/>
          <w:sz w:val="28"/>
        </w:rPr>
        <w:t> </w:t>
      </w:r>
      <w:r>
        <w:rPr>
          <w:color w:val="221F1F"/>
          <w:sz w:val="28"/>
        </w:rPr>
        <w:t>of</w:t>
      </w:r>
      <w:r>
        <w:rPr>
          <w:color w:val="221F1F"/>
          <w:spacing w:val="-4"/>
          <w:sz w:val="28"/>
        </w:rPr>
        <w:t> </w:t>
      </w:r>
      <w:r>
        <w:rPr>
          <w:color w:val="221F1F"/>
          <w:sz w:val="28"/>
        </w:rPr>
        <w:t>14-</w:t>
      </w:r>
      <w:r>
        <w:rPr>
          <w:color w:val="221F1F"/>
          <w:spacing w:val="-5"/>
          <w:sz w:val="28"/>
        </w:rPr>
        <w:t>21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52" w:lineRule="auto" w:before="3" w:after="0"/>
        <w:ind w:left="149" w:right="473" w:firstLine="0"/>
        <w:jc w:val="left"/>
        <w:rPr>
          <w:i/>
          <w:sz w:val="28"/>
        </w:rPr>
      </w:pPr>
      <w:r>
        <w:rPr>
          <w:color w:val="221F1F"/>
          <w:sz w:val="28"/>
        </w:rPr>
        <w:t>Must</w:t>
      </w:r>
      <w:r>
        <w:rPr>
          <w:color w:val="221F1F"/>
          <w:spacing w:val="-9"/>
          <w:sz w:val="28"/>
        </w:rPr>
        <w:t> </w:t>
      </w:r>
      <w:r>
        <w:rPr>
          <w:color w:val="221F1F"/>
          <w:sz w:val="28"/>
        </w:rPr>
        <w:t>have</w:t>
      </w:r>
      <w:r>
        <w:rPr>
          <w:color w:val="221F1F"/>
          <w:spacing w:val="-9"/>
          <w:sz w:val="28"/>
        </w:rPr>
        <w:t> </w:t>
      </w:r>
      <w:r>
        <w:rPr>
          <w:color w:val="221F1F"/>
          <w:sz w:val="28"/>
        </w:rPr>
        <w:t>supporting</w:t>
      </w:r>
      <w:r>
        <w:rPr>
          <w:color w:val="221F1F"/>
          <w:spacing w:val="-10"/>
          <w:sz w:val="28"/>
        </w:rPr>
        <w:t> </w:t>
      </w:r>
      <w:r>
        <w:rPr>
          <w:color w:val="221F1F"/>
          <w:sz w:val="28"/>
        </w:rPr>
        <w:t>documentation</w:t>
      </w:r>
      <w:r>
        <w:rPr>
          <w:color w:val="221F1F"/>
          <w:spacing w:val="-9"/>
          <w:sz w:val="28"/>
        </w:rPr>
        <w:t> </w:t>
      </w:r>
      <w:r>
        <w:rPr>
          <w:color w:val="221F1F"/>
          <w:sz w:val="28"/>
        </w:rPr>
        <w:t>of difficulties in any of the following areas: </w:t>
      </w:r>
      <w:r>
        <w:rPr>
          <w:i/>
          <w:color w:val="221F1F"/>
          <w:sz w:val="28"/>
        </w:rPr>
        <w:t>Learning, physical, neurological, mental</w:t>
      </w:r>
      <w:r>
        <w:rPr>
          <w:i/>
          <w:color w:val="221F1F"/>
          <w:sz w:val="28"/>
        </w:rPr>
        <w:t> health, mobility, hearing, and/or vision</w:t>
      </w:r>
    </w:p>
    <w:p>
      <w:pPr>
        <w:pStyle w:val="Heading1"/>
        <w:spacing w:line="405" w:lineRule="exact" w:before="301"/>
      </w:pPr>
      <w:r>
        <w:rPr>
          <w:color w:val="221F1F"/>
        </w:rPr>
        <w:t>Services</w:t>
      </w:r>
      <w:r>
        <w:rPr>
          <w:color w:val="221F1F"/>
          <w:spacing w:val="-5"/>
        </w:rPr>
        <w:t> </w:t>
      </w:r>
      <w:r>
        <w:rPr>
          <w:color w:val="221F1F"/>
          <w:spacing w:val="-2"/>
        </w:rPr>
        <w:t>Include:</w:t>
      </w:r>
    </w:p>
    <w:p>
      <w:pPr>
        <w:pStyle w:val="BodyText"/>
        <w:spacing w:line="242" w:lineRule="auto"/>
        <w:ind w:left="113" w:right="16"/>
      </w:pPr>
      <w:r>
        <w:rPr>
          <w:color w:val="221F1F"/>
        </w:rPr>
        <w:t>Job Exploration Counseling | Work-Based Learning Experiences | Instruction in Self Advocacy</w:t>
      </w:r>
      <w:r>
        <w:rPr>
          <w:color w:val="221F1F"/>
          <w:spacing w:val="-10"/>
        </w:rPr>
        <w:t> </w:t>
      </w:r>
      <w:r>
        <w:rPr>
          <w:color w:val="221F1F"/>
        </w:rPr>
        <w:t>including</w:t>
      </w:r>
      <w:r>
        <w:rPr>
          <w:color w:val="221F1F"/>
          <w:spacing w:val="-10"/>
        </w:rPr>
        <w:t> </w:t>
      </w:r>
      <w:r>
        <w:rPr>
          <w:color w:val="221F1F"/>
        </w:rPr>
        <w:t>Peer</w:t>
      </w:r>
      <w:r>
        <w:rPr>
          <w:color w:val="221F1F"/>
          <w:spacing w:val="-9"/>
        </w:rPr>
        <w:t> </w:t>
      </w:r>
      <w:r>
        <w:rPr>
          <w:color w:val="221F1F"/>
        </w:rPr>
        <w:t>Mentoring</w:t>
      </w:r>
      <w:r>
        <w:rPr>
          <w:color w:val="221F1F"/>
          <w:spacing w:val="-10"/>
        </w:rPr>
        <w:t> </w:t>
      </w:r>
      <w:r>
        <w:rPr>
          <w:color w:val="221F1F"/>
        </w:rPr>
        <w:t>Services</w:t>
      </w:r>
      <w:r>
        <w:rPr>
          <w:color w:val="221F1F"/>
          <w:spacing w:val="-9"/>
        </w:rPr>
        <w:t> </w:t>
      </w:r>
      <w:r>
        <w:rPr>
          <w:color w:val="221F1F"/>
        </w:rPr>
        <w:t>| Workplace Readiness Training</w:t>
      </w:r>
      <w:r>
        <w:rPr>
          <w:color w:val="221F1F"/>
          <w:spacing w:val="40"/>
        </w:rPr>
        <w:t> </w:t>
      </w:r>
      <w:r>
        <w:rPr>
          <w:color w:val="221F1F"/>
        </w:rPr>
        <w:t>| Counseling on Postsecondary Opportunities</w:t>
      </w:r>
    </w:p>
    <w:p>
      <w:pPr>
        <w:pStyle w:val="BodyText"/>
        <w:spacing w:before="22"/>
      </w:pPr>
    </w:p>
    <w:p>
      <w:pPr>
        <w:pStyle w:val="Heading1"/>
        <w:spacing w:before="1"/>
      </w:pPr>
      <w:r>
        <w:rPr>
          <w:color w:val="221F1F"/>
        </w:rPr>
        <w:t>How</w:t>
      </w:r>
      <w:r>
        <w:rPr>
          <w:color w:val="221F1F"/>
          <w:spacing w:val="-4"/>
        </w:rPr>
        <w:t> </w:t>
      </w:r>
      <w:r>
        <w:rPr>
          <w:color w:val="221F1F"/>
        </w:rPr>
        <w:t>do</w:t>
      </w:r>
      <w:r>
        <w:rPr>
          <w:color w:val="221F1F"/>
          <w:spacing w:val="-3"/>
        </w:rPr>
        <w:t> </w:t>
      </w:r>
      <w:r>
        <w:rPr>
          <w:color w:val="221F1F"/>
        </w:rPr>
        <w:t>I</w:t>
      </w:r>
      <w:r>
        <w:rPr>
          <w:color w:val="221F1F"/>
          <w:spacing w:val="-3"/>
        </w:rPr>
        <w:t> </w:t>
      </w:r>
      <w:r>
        <w:rPr>
          <w:color w:val="221F1F"/>
        </w:rPr>
        <w:t>get</w:t>
      </w:r>
      <w:r>
        <w:rPr>
          <w:color w:val="221F1F"/>
          <w:spacing w:val="-4"/>
        </w:rPr>
        <w:t> </w:t>
      </w:r>
      <w:r>
        <w:rPr>
          <w:color w:val="221F1F"/>
          <w:spacing w:val="-2"/>
        </w:rPr>
        <w:t>started?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  <w:tab w:pos="393" w:val="left" w:leader="none"/>
        </w:tabs>
        <w:spacing w:line="242" w:lineRule="auto" w:before="36" w:after="0"/>
        <w:ind w:left="393" w:right="1007" w:hanging="280"/>
        <w:jc w:val="left"/>
        <w:rPr>
          <w:sz w:val="28"/>
        </w:rPr>
      </w:pPr>
      <w:r>
        <w:rPr>
          <w:color w:val="221F1F"/>
          <w:sz w:val="28"/>
        </w:rPr>
        <w:t>Fill</w:t>
      </w:r>
      <w:r>
        <w:rPr>
          <w:color w:val="221F1F"/>
          <w:spacing w:val="-10"/>
          <w:sz w:val="28"/>
        </w:rPr>
        <w:t> </w:t>
      </w:r>
      <w:r>
        <w:rPr>
          <w:color w:val="221F1F"/>
          <w:sz w:val="28"/>
        </w:rPr>
        <w:t>out</w:t>
      </w:r>
      <w:r>
        <w:rPr>
          <w:color w:val="221F1F"/>
          <w:spacing w:val="-10"/>
          <w:sz w:val="28"/>
        </w:rPr>
        <w:t> </w:t>
      </w:r>
      <w:r>
        <w:rPr>
          <w:color w:val="221F1F"/>
          <w:sz w:val="28"/>
        </w:rPr>
        <w:t>a</w:t>
      </w:r>
      <w:r>
        <w:rPr>
          <w:color w:val="221F1F"/>
          <w:spacing w:val="-10"/>
          <w:sz w:val="28"/>
        </w:rPr>
        <w:t> </w:t>
      </w:r>
      <w:r>
        <w:rPr>
          <w:color w:val="221F1F"/>
          <w:sz w:val="28"/>
        </w:rPr>
        <w:t>Pre-ETS</w:t>
      </w:r>
      <w:r>
        <w:rPr>
          <w:color w:val="221F1F"/>
          <w:spacing w:val="-10"/>
          <w:sz w:val="28"/>
        </w:rPr>
        <w:t> </w:t>
      </w:r>
      <w:r>
        <w:rPr>
          <w:color w:val="221F1F"/>
          <w:sz w:val="28"/>
        </w:rPr>
        <w:t>Referral</w:t>
      </w:r>
      <w:r>
        <w:rPr>
          <w:color w:val="221F1F"/>
          <w:spacing w:val="-10"/>
          <w:sz w:val="28"/>
        </w:rPr>
        <w:t> </w:t>
      </w:r>
      <w:r>
        <w:rPr>
          <w:color w:val="221F1F"/>
          <w:sz w:val="28"/>
        </w:rPr>
        <w:t>Form</w:t>
      </w:r>
      <w:r>
        <w:rPr>
          <w:color w:val="221F1F"/>
          <w:spacing w:val="-10"/>
          <w:sz w:val="28"/>
        </w:rPr>
        <w:t> </w:t>
      </w:r>
      <w:r>
        <w:rPr>
          <w:color w:val="221F1F"/>
          <w:sz w:val="28"/>
        </w:rPr>
        <w:t>with school personnel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  <w:tab w:pos="393" w:val="left" w:leader="none"/>
        </w:tabs>
        <w:spacing w:line="242" w:lineRule="auto" w:before="0" w:after="0"/>
        <w:ind w:left="393" w:right="1169" w:hanging="280"/>
        <w:jc w:val="left"/>
        <w:rPr>
          <w:sz w:val="28"/>
        </w:rPr>
      </w:pPr>
      <w:r>
        <w:rPr>
          <w:color w:val="221F1F"/>
          <w:sz w:val="28"/>
        </w:rPr>
        <w:t>Email Pre-ETS Referral Form to </w:t>
      </w:r>
      <w:hyperlink r:id="rId5">
        <w:r>
          <w:rPr>
            <w:color w:val="221F1F"/>
            <w:spacing w:val="-2"/>
            <w:sz w:val="28"/>
          </w:rPr>
          <w:t>vrtransitionservices@mdrs.ms.gov</w:t>
        </w:r>
      </w:hyperlink>
    </w:p>
    <w:p>
      <w:pPr>
        <w:pStyle w:val="ListParagraph"/>
        <w:numPr>
          <w:ilvl w:val="0"/>
          <w:numId w:val="1"/>
        </w:numPr>
        <w:tabs>
          <w:tab w:pos="369" w:val="left" w:leader="none"/>
          <w:tab w:pos="393" w:val="left" w:leader="none"/>
        </w:tabs>
        <w:spacing w:line="242" w:lineRule="auto" w:before="0" w:after="0"/>
        <w:ind w:left="393" w:right="605" w:hanging="280"/>
        <w:jc w:val="left"/>
        <w:rPr>
          <w:sz w:val="28"/>
        </w:rPr>
      </w:pPr>
      <w:r>
        <w:rPr>
          <w:color w:val="221F1F"/>
          <w:sz w:val="28"/>
        </w:rPr>
        <w:t>Provide</w:t>
      </w:r>
      <w:r>
        <w:rPr>
          <w:color w:val="221F1F"/>
          <w:spacing w:val="-12"/>
          <w:sz w:val="28"/>
        </w:rPr>
        <w:t> </w:t>
      </w:r>
      <w:r>
        <w:rPr>
          <w:color w:val="221F1F"/>
          <w:sz w:val="28"/>
        </w:rPr>
        <w:t>supporting</w:t>
      </w:r>
      <w:r>
        <w:rPr>
          <w:color w:val="221F1F"/>
          <w:spacing w:val="-13"/>
          <w:sz w:val="28"/>
        </w:rPr>
        <w:t> </w:t>
      </w:r>
      <w:r>
        <w:rPr>
          <w:color w:val="221F1F"/>
          <w:sz w:val="28"/>
        </w:rPr>
        <w:t>documentation</w:t>
      </w:r>
      <w:r>
        <w:rPr>
          <w:color w:val="221F1F"/>
          <w:spacing w:val="-12"/>
          <w:sz w:val="28"/>
        </w:rPr>
        <w:t> </w:t>
      </w:r>
      <w:r>
        <w:rPr>
          <w:color w:val="221F1F"/>
          <w:sz w:val="28"/>
        </w:rPr>
        <w:t>with Pre-ETS Referral Form (acceptable documentation may include: IEP, 504 Plan, Diagnostic Records</w:t>
      </w:r>
    </w:p>
    <w:p>
      <w:pPr>
        <w:pStyle w:val="BodyText"/>
        <w:spacing w:before="259"/>
      </w:pPr>
    </w:p>
    <w:p>
      <w:pPr>
        <w:pStyle w:val="BodyText"/>
        <w:spacing w:line="235" w:lineRule="auto"/>
        <w:ind w:left="1343" w:right="1368"/>
        <w:rPr>
          <w:rFonts w:ascii="Cyntho Slab Pro"/>
        </w:rPr>
      </w:pPr>
      <w:r>
        <w:rPr>
          <w:rFonts w:ascii="Cyntho Slab Pro"/>
          <w:color w:val="221F1F"/>
        </w:rPr>
        <w:t>Visit our website </w:t>
      </w:r>
      <w:r>
        <w:rPr>
          <w:rFonts w:ascii="Cyntho Slab Pro"/>
          <w:color w:val="221F1F"/>
          <w:spacing w:val="-4"/>
        </w:rPr>
        <w:t>mdrs.ms.gov/pre-</w:t>
      </w:r>
      <w:r>
        <w:rPr>
          <w:rFonts w:ascii="Cyntho Slab Pro"/>
          <w:color w:val="221F1F"/>
          <w:spacing w:val="-4"/>
        </w:rPr>
        <w:t>ETS</w:t>
      </w:r>
    </w:p>
    <w:p>
      <w:pPr>
        <w:pStyle w:val="BodyText"/>
        <w:spacing w:before="343"/>
        <w:ind w:left="598"/>
        <w:rPr>
          <w:rFonts w:ascii="Cyntho Slab Pro"/>
        </w:rPr>
      </w:pPr>
      <w:r>
        <w:rPr>
          <w:rFonts w:ascii="Cyntho Slab Pro"/>
          <w:color w:val="221F1F"/>
          <w:spacing w:val="-2"/>
        </w:rPr>
        <w:t>+1.833.966.5610</w:t>
      </w:r>
    </w:p>
    <w:p>
      <w:pPr>
        <w:pStyle w:val="BodyText"/>
        <w:spacing w:line="333" w:lineRule="auto" w:before="136"/>
        <w:ind w:left="628"/>
        <w:rPr>
          <w:rFonts w:ascii="Cyntho Slab Pro"/>
        </w:rPr>
      </w:pPr>
      <w:hyperlink r:id="rId5">
        <w:r>
          <w:rPr>
            <w:rFonts w:ascii="Cyntho Slab Pro"/>
            <w:color w:val="221F1F"/>
            <w:spacing w:val="-2"/>
          </w:rPr>
          <w:t>vrtransitionservices@mdrs.ms.gov</w:t>
        </w:r>
      </w:hyperlink>
      <w:r>
        <w:rPr>
          <w:rFonts w:ascii="Cyntho Slab Pro"/>
          <w:color w:val="221F1F"/>
          <w:spacing w:val="-2"/>
        </w:rPr>
        <w:t> </w:t>
      </w:r>
      <w:r>
        <w:rPr>
          <w:rFonts w:ascii="Cyntho Slab Pro"/>
          <w:color w:val="221F1F"/>
        </w:rPr>
        <w:t>1281 Hwy 51 - Madison, MS</w:t>
      </w:r>
      <w:r>
        <w:rPr>
          <w:rFonts w:ascii="Cyntho Slab Pro"/>
          <w:color w:val="221F1F"/>
          <w:spacing w:val="40"/>
        </w:rPr>
        <w:t> </w:t>
      </w:r>
      <w:r>
        <w:rPr>
          <w:rFonts w:ascii="Cyntho Slab Pro"/>
          <w:color w:val="221F1F"/>
        </w:rPr>
        <w:t>39110</w:t>
      </w:r>
    </w:p>
    <w:p>
      <w:pPr>
        <w:spacing w:after="0" w:line="333" w:lineRule="auto"/>
        <w:rPr>
          <w:rFonts w:ascii="Cyntho Slab Pro"/>
        </w:rPr>
        <w:sectPr>
          <w:type w:val="continuous"/>
          <w:pgSz w:w="6120" w:h="13320"/>
          <w:pgMar w:top="320" w:bottom="280" w:left="300" w:right="220"/>
        </w:sectPr>
      </w:pPr>
    </w:p>
    <w:p>
      <w:pPr>
        <w:spacing w:line="172" w:lineRule="auto" w:before="226"/>
        <w:ind w:left="389" w:right="1067" w:firstLine="0"/>
        <w:jc w:val="left"/>
        <w:rPr>
          <w:rFonts w:ascii="Franklin Gothic Demi"/>
          <w:b/>
          <w:sz w:val="56"/>
        </w:rPr>
      </w:pPr>
      <w:r>
        <w:rPr>
          <w:rFonts w:ascii="Franklin Gothic Demi"/>
          <w:b/>
          <w:color w:val="221F1F"/>
          <w:sz w:val="56"/>
        </w:rPr>
        <w:t>LET US HELP YOU</w:t>
      </w:r>
      <w:r>
        <w:rPr>
          <w:rFonts w:ascii="Franklin Gothic Demi"/>
          <w:b/>
          <w:color w:val="221F1F"/>
          <w:spacing w:val="-6"/>
          <w:sz w:val="56"/>
        </w:rPr>
        <w:t> </w:t>
      </w:r>
      <w:r>
        <w:rPr>
          <w:rFonts w:ascii="Franklin Gothic Demi"/>
          <w:b/>
          <w:color w:val="221F1F"/>
          <w:sz w:val="56"/>
        </w:rPr>
        <w:t>GET</w:t>
      </w:r>
      <w:r>
        <w:rPr>
          <w:rFonts w:ascii="Franklin Gothic Demi"/>
          <w:b/>
          <w:color w:val="221F1F"/>
          <w:spacing w:val="-6"/>
          <w:sz w:val="56"/>
        </w:rPr>
        <w:t> </w:t>
      </w:r>
      <w:r>
        <w:rPr>
          <w:rFonts w:ascii="Franklin Gothic Demi"/>
          <w:b/>
          <w:color w:val="221F1F"/>
          <w:sz w:val="56"/>
        </w:rPr>
        <w:t>TO</w:t>
      </w:r>
      <w:r>
        <w:rPr>
          <w:rFonts w:ascii="Franklin Gothic Demi"/>
          <w:b/>
          <w:color w:val="221F1F"/>
          <w:spacing w:val="-6"/>
          <w:sz w:val="56"/>
        </w:rPr>
        <w:t> </w:t>
      </w:r>
      <w:r>
        <w:rPr>
          <w:rFonts w:ascii="Franklin Gothic Demi"/>
          <w:b/>
          <w:color w:val="221F1F"/>
          <w:sz w:val="56"/>
        </w:rPr>
        <w:t>THE NEXT LEVEL</w:t>
      </w:r>
    </w:p>
    <w:p>
      <w:pPr>
        <w:pStyle w:val="BodyText"/>
        <w:rPr>
          <w:rFonts w:ascii="Franklin Gothic Demi"/>
          <w:b/>
          <w:sz w:val="58"/>
        </w:rPr>
      </w:pPr>
    </w:p>
    <w:p>
      <w:pPr>
        <w:pStyle w:val="BodyText"/>
        <w:rPr>
          <w:rFonts w:ascii="Franklin Gothic Demi"/>
          <w:b/>
          <w:sz w:val="58"/>
        </w:rPr>
      </w:pPr>
    </w:p>
    <w:p>
      <w:pPr>
        <w:pStyle w:val="BodyText"/>
        <w:rPr>
          <w:rFonts w:ascii="Franklin Gothic Demi"/>
          <w:b/>
          <w:sz w:val="58"/>
        </w:rPr>
      </w:pPr>
    </w:p>
    <w:p>
      <w:pPr>
        <w:pStyle w:val="BodyText"/>
        <w:rPr>
          <w:rFonts w:ascii="Franklin Gothic Demi"/>
          <w:b/>
          <w:sz w:val="58"/>
        </w:rPr>
      </w:pPr>
    </w:p>
    <w:p>
      <w:pPr>
        <w:pStyle w:val="BodyText"/>
        <w:rPr>
          <w:rFonts w:ascii="Franklin Gothic Demi"/>
          <w:b/>
          <w:sz w:val="58"/>
        </w:rPr>
      </w:pPr>
    </w:p>
    <w:p>
      <w:pPr>
        <w:pStyle w:val="BodyText"/>
        <w:rPr>
          <w:rFonts w:ascii="Franklin Gothic Demi"/>
          <w:b/>
          <w:sz w:val="58"/>
        </w:rPr>
      </w:pPr>
    </w:p>
    <w:p>
      <w:pPr>
        <w:pStyle w:val="BodyText"/>
        <w:rPr>
          <w:rFonts w:ascii="Franklin Gothic Demi"/>
          <w:b/>
          <w:sz w:val="58"/>
        </w:rPr>
      </w:pPr>
    </w:p>
    <w:p>
      <w:pPr>
        <w:pStyle w:val="BodyText"/>
        <w:rPr>
          <w:rFonts w:ascii="Franklin Gothic Demi"/>
          <w:b/>
          <w:sz w:val="58"/>
        </w:rPr>
      </w:pPr>
    </w:p>
    <w:p>
      <w:pPr>
        <w:pStyle w:val="BodyText"/>
        <w:rPr>
          <w:rFonts w:ascii="Franklin Gothic Demi"/>
          <w:b/>
          <w:sz w:val="58"/>
        </w:rPr>
      </w:pPr>
    </w:p>
    <w:p>
      <w:pPr>
        <w:pStyle w:val="BodyText"/>
        <w:rPr>
          <w:rFonts w:ascii="Franklin Gothic Demi"/>
          <w:b/>
          <w:sz w:val="58"/>
        </w:rPr>
      </w:pPr>
    </w:p>
    <w:p>
      <w:pPr>
        <w:pStyle w:val="BodyText"/>
        <w:rPr>
          <w:rFonts w:ascii="Franklin Gothic Demi"/>
          <w:b/>
          <w:sz w:val="58"/>
        </w:rPr>
      </w:pPr>
    </w:p>
    <w:p>
      <w:pPr>
        <w:pStyle w:val="BodyText"/>
        <w:spacing w:before="6"/>
        <w:rPr>
          <w:rFonts w:ascii="Franklin Gothic Demi"/>
          <w:b/>
          <w:sz w:val="58"/>
        </w:rPr>
      </w:pPr>
    </w:p>
    <w:p>
      <w:pPr>
        <w:spacing w:line="208" w:lineRule="auto" w:before="1"/>
        <w:ind w:left="357" w:right="0" w:firstLine="327"/>
        <w:jc w:val="left"/>
        <w:rPr>
          <w:rFonts w:ascii="Franklin Gothic Demi"/>
          <w:b/>
          <w:sz w:val="58"/>
        </w:rPr>
      </w:pPr>
      <w:r>
        <w:rPr>
          <w:rFonts w:ascii="Franklin Gothic Demi"/>
          <w:b/>
          <w:color w:val="221F1F"/>
          <w:spacing w:val="-2"/>
          <w:sz w:val="58"/>
        </w:rPr>
        <w:t>Pre-Employment </w:t>
      </w:r>
      <w:r>
        <w:rPr>
          <w:rFonts w:ascii="Franklin Gothic Demi"/>
          <w:b/>
          <w:color w:val="221F1F"/>
          <w:sz w:val="58"/>
        </w:rPr>
        <w:t>Transition</w:t>
      </w:r>
      <w:r>
        <w:rPr>
          <w:rFonts w:ascii="Franklin Gothic Demi"/>
          <w:b/>
          <w:color w:val="221F1F"/>
          <w:spacing w:val="-21"/>
          <w:sz w:val="58"/>
        </w:rPr>
        <w:t> </w:t>
      </w:r>
      <w:r>
        <w:rPr>
          <w:rFonts w:ascii="Franklin Gothic Demi"/>
          <w:b/>
          <w:color w:val="221F1F"/>
          <w:sz w:val="58"/>
        </w:rPr>
        <w:t>Services</w:t>
      </w:r>
    </w:p>
    <w:sectPr>
      <w:pgSz w:w="6120" w:h="13320"/>
      <w:pgMar w:top="260" w:bottom="280" w:left="3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yntho Slab Pro">
    <w:altName w:val="Cyntho Slab Pro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29" w:hanging="257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21F1F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8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6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4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2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8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6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4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14"/>
      <w:outlineLvl w:val="1"/>
    </w:pPr>
    <w:rPr>
      <w:rFonts w:ascii="Franklin Gothic Demi" w:hAnsi="Franklin Gothic Demi" w:eastAsia="Franklin Gothic Demi" w:cs="Franklin Gothic Demi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19"/>
    </w:pPr>
    <w:rPr>
      <w:rFonts w:ascii="Franklin Gothic Demi" w:hAnsi="Franklin Gothic Demi" w:eastAsia="Franklin Gothic Demi" w:cs="Franklin Gothic Demi"/>
      <w:b/>
      <w:bCs/>
      <w:sz w:val="69"/>
      <w:szCs w:val="6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93" w:hanging="280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rtransitionservices@mdrs.ms.gov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Pre-ETS Push Card WORD DOC</dc:title>
  <dcterms:created xsi:type="dcterms:W3CDTF">2025-01-14T16:06:14Z</dcterms:created>
  <dcterms:modified xsi:type="dcterms:W3CDTF">2025-01-14T16:06:14Z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Illustrator 29.2 (Windows)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17.00</vt:lpwstr>
  </property>
</Properties>
</file>