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2" w:lineRule="auto"/>
      </w:pPr>
      <w:r>
        <w:rPr>
          <w:color w:val="221F1F"/>
        </w:rPr>
        <w:t>Making saving easier helps</w:t>
      </w:r>
      <w:r>
        <w:rPr>
          <w:color w:val="221F1F"/>
          <w:spacing w:val="-32"/>
        </w:rPr>
        <w:t> </w:t>
      </w:r>
      <w:r>
        <w:rPr>
          <w:color w:val="221F1F"/>
        </w:rPr>
        <w:t>make</w:t>
      </w:r>
      <w:r>
        <w:rPr>
          <w:color w:val="221F1F"/>
          <w:spacing w:val="-32"/>
        </w:rPr>
        <w:t> </w:t>
      </w:r>
      <w:r>
        <w:rPr>
          <w:color w:val="221F1F"/>
        </w:rPr>
        <w:t>life</w:t>
      </w:r>
      <w:r>
        <w:rPr>
          <w:color w:val="221F1F"/>
          <w:spacing w:val="-31"/>
        </w:rPr>
        <w:t> </w:t>
      </w:r>
      <w:r>
        <w:rPr>
          <w:color w:val="221F1F"/>
        </w:rPr>
        <w:t>better.</w:t>
      </w:r>
    </w:p>
    <w:p>
      <w:pPr>
        <w:pStyle w:val="Heading1"/>
        <w:spacing w:before="357"/>
      </w:pPr>
      <w:r>
        <w:rPr>
          <w:color w:val="221F1F"/>
        </w:rPr>
        <w:t>What</w:t>
      </w:r>
      <w:r>
        <w:rPr>
          <w:color w:val="221F1F"/>
          <w:spacing w:val="-2"/>
        </w:rPr>
        <w:t> </w:t>
      </w:r>
      <w:r>
        <w:rPr>
          <w:color w:val="221F1F"/>
        </w:rPr>
        <w:t>is</w:t>
      </w:r>
      <w:r>
        <w:rPr>
          <w:color w:val="221F1F"/>
          <w:spacing w:val="-1"/>
        </w:rPr>
        <w:t> </w:t>
      </w:r>
      <w:r>
        <w:rPr>
          <w:color w:val="221F1F"/>
          <w:spacing w:val="-2"/>
        </w:rPr>
        <w:t>ABLE?</w:t>
      </w:r>
    </w:p>
    <w:p>
      <w:pPr>
        <w:pStyle w:val="BodyText"/>
        <w:spacing w:line="228" w:lineRule="auto" w:before="96"/>
        <w:ind w:left="108" w:right="38"/>
        <w:jc w:val="both"/>
      </w:pPr>
      <w:r>
        <w:rPr>
          <w:color w:val="221F1F"/>
        </w:rPr>
        <w:t>The Achieving Better Life </w:t>
      </w:r>
      <w:r>
        <w:rPr>
          <w:color w:val="221F1F"/>
        </w:rPr>
        <w:t>Experience Act (ABLE) of 2014 allows individuals with disabilities to save money in a</w:t>
      </w:r>
      <w:r>
        <w:rPr>
          <w:color w:val="221F1F"/>
          <w:spacing w:val="80"/>
          <w:w w:val="150"/>
        </w:rPr>
        <w:t> </w:t>
      </w:r>
      <w:r>
        <w:rPr>
          <w:color w:val="221F1F"/>
        </w:rPr>
        <w:t>tax-advantaged account that may be used for qualified disability related expenses while keeping eligibility for federal public benefits.</w:t>
      </w:r>
    </w:p>
    <w:p>
      <w:pPr>
        <w:pStyle w:val="BodyText"/>
        <w:spacing w:line="228" w:lineRule="auto" w:before="316"/>
        <w:ind w:left="108" w:right="38"/>
        <w:jc w:val="both"/>
      </w:pPr>
      <w:r>
        <w:rPr>
          <w:color w:val="221F1F"/>
        </w:rPr>
        <w:t>The Mississippi ABLE Act is codified </w:t>
      </w:r>
      <w:r>
        <w:rPr>
          <w:color w:val="221F1F"/>
        </w:rPr>
        <w:t>in Miss. Code Ann. 43-28-1 et seq. The legislation established an ABLE Board which works with the Mississippi Department of Rehabilitation Services to</w:t>
      </w:r>
      <w:r>
        <w:rPr>
          <w:color w:val="221F1F"/>
          <w:spacing w:val="-14"/>
        </w:rPr>
        <w:t> </w:t>
      </w:r>
      <w:r>
        <w:rPr>
          <w:color w:val="221F1F"/>
        </w:rPr>
        <w:t>administer</w:t>
      </w:r>
      <w:r>
        <w:rPr>
          <w:color w:val="221F1F"/>
          <w:spacing w:val="-14"/>
        </w:rPr>
        <w:t> </w:t>
      </w:r>
      <w:r>
        <w:rPr>
          <w:color w:val="221F1F"/>
        </w:rPr>
        <w:t>the</w:t>
      </w:r>
      <w:r>
        <w:rPr>
          <w:color w:val="221F1F"/>
          <w:spacing w:val="-14"/>
        </w:rPr>
        <w:t> </w:t>
      </w:r>
      <w:r>
        <w:rPr>
          <w:color w:val="221F1F"/>
        </w:rPr>
        <w:t>program.</w:t>
      </w:r>
      <w:r>
        <w:rPr>
          <w:color w:val="221F1F"/>
          <w:spacing w:val="-14"/>
        </w:rPr>
        <w:t> </w:t>
      </w:r>
      <w:r>
        <w:rPr>
          <w:color w:val="221F1F"/>
        </w:rPr>
        <w:t>Mississippi</w:t>
      </w:r>
      <w:r>
        <w:rPr>
          <w:color w:val="221F1F"/>
          <w:spacing w:val="-14"/>
        </w:rPr>
        <w:t> </w:t>
      </w:r>
      <w:r>
        <w:rPr>
          <w:color w:val="221F1F"/>
        </w:rPr>
        <w:t>is a member of The National ABLE </w:t>
      </w:r>
      <w:r>
        <w:rPr>
          <w:color w:val="221F1F"/>
          <w:spacing w:val="-2"/>
        </w:rPr>
        <w:t>Alliance.</w:t>
      </w:r>
    </w:p>
    <w:p>
      <w:pPr>
        <w:pStyle w:val="Heading1"/>
        <w:spacing w:before="317"/>
        <w:jc w:val="both"/>
      </w:pPr>
      <w:r>
        <w:rPr>
          <w:color w:val="221F1F"/>
        </w:rPr>
        <w:t>Who is </w:t>
      </w:r>
      <w:r>
        <w:rPr>
          <w:color w:val="221F1F"/>
          <w:spacing w:val="-2"/>
        </w:rPr>
        <w:t>eligible?</w:t>
      </w:r>
    </w:p>
    <w:p>
      <w:pPr>
        <w:pStyle w:val="BodyText"/>
        <w:spacing w:line="228" w:lineRule="auto" w:before="96"/>
        <w:ind w:left="101" w:right="38"/>
        <w:jc w:val="both"/>
      </w:pPr>
      <w:r>
        <w:rPr>
          <w:color w:val="221F1F"/>
        </w:rPr>
        <w:t>You can open an account for </w:t>
      </w:r>
      <w:r>
        <w:rPr>
          <w:color w:val="221F1F"/>
        </w:rPr>
        <w:t>yourself, or</w:t>
      </w:r>
      <w:r>
        <w:rPr>
          <w:color w:val="221F1F"/>
          <w:spacing w:val="-13"/>
        </w:rPr>
        <w:t> </w:t>
      </w:r>
      <w:r>
        <w:rPr>
          <w:color w:val="221F1F"/>
        </w:rPr>
        <w:t>an</w:t>
      </w:r>
      <w:r>
        <w:rPr>
          <w:color w:val="221F1F"/>
          <w:spacing w:val="-13"/>
        </w:rPr>
        <w:t> </w:t>
      </w:r>
      <w:r>
        <w:rPr>
          <w:color w:val="221F1F"/>
        </w:rPr>
        <w:t>authorized</w:t>
      </w:r>
      <w:r>
        <w:rPr>
          <w:color w:val="221F1F"/>
          <w:spacing w:val="-13"/>
        </w:rPr>
        <w:t> </w:t>
      </w:r>
      <w:r>
        <w:rPr>
          <w:color w:val="221F1F"/>
        </w:rPr>
        <w:t>individual</w:t>
      </w:r>
      <w:r>
        <w:rPr>
          <w:color w:val="221F1F"/>
          <w:spacing w:val="-13"/>
        </w:rPr>
        <w:t> </w:t>
      </w:r>
      <w:r>
        <w:rPr>
          <w:color w:val="221F1F"/>
        </w:rPr>
        <w:t>can</w:t>
      </w:r>
      <w:r>
        <w:rPr>
          <w:color w:val="221F1F"/>
          <w:spacing w:val="-13"/>
        </w:rPr>
        <w:t> </w:t>
      </w:r>
      <w:r>
        <w:rPr>
          <w:color w:val="221F1F"/>
        </w:rPr>
        <w:t>open</w:t>
      </w:r>
      <w:r>
        <w:rPr>
          <w:color w:val="221F1F"/>
          <w:spacing w:val="-13"/>
        </w:rPr>
        <w:t> </w:t>
      </w:r>
      <w:r>
        <w:rPr>
          <w:color w:val="221F1F"/>
        </w:rPr>
        <w:t>on your behalf if: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278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You acquired your disability before the age of 26 (or before age </w:t>
      </w:r>
      <w:r>
        <w:rPr>
          <w:color w:val="221F1F"/>
          <w:sz w:val="26"/>
        </w:rPr>
        <w:t>46 starting January 1, 2026, under the ABLE Age Adjustment Act)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283" w:after="0"/>
        <w:ind w:left="451" w:right="38" w:hanging="172"/>
        <w:jc w:val="both"/>
        <w:rPr>
          <w:color w:val="221F1F"/>
          <w:position w:val="1"/>
          <w:sz w:val="24"/>
        </w:rPr>
      </w:pPr>
      <w:r>
        <w:rPr>
          <w:color w:val="221F1F"/>
          <w:sz w:val="26"/>
        </w:rPr>
        <w:t>Meet disability qualifications </w:t>
      </w:r>
      <w:r>
        <w:rPr>
          <w:color w:val="221F1F"/>
          <w:sz w:val="26"/>
        </w:rPr>
        <w:t>as determined by SSA or have similarly severe disability and a written diagnosis from a licensed physician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8"/>
        <w:rPr>
          <w:sz w:val="36"/>
        </w:rPr>
      </w:pPr>
    </w:p>
    <w:p>
      <w:pPr>
        <w:pStyle w:val="Heading1"/>
      </w:pPr>
      <w:r>
        <w:rPr>
          <w:color w:val="221F1F"/>
        </w:rPr>
        <w:t>Plan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Highlights</w:t>
      </w:r>
    </w:p>
    <w:p>
      <w:pPr>
        <w:pStyle w:val="Heading2"/>
        <w:tabs>
          <w:tab w:pos="1423" w:val="left" w:leader="none"/>
          <w:tab w:pos="2908" w:val="left" w:leader="none"/>
          <w:tab w:pos="3592" w:val="left" w:leader="none"/>
        </w:tabs>
        <w:spacing w:line="206" w:lineRule="auto" w:before="94"/>
        <w:ind w:right="38"/>
      </w:pPr>
      <w:r>
        <w:rPr>
          <w:color w:val="221F1F"/>
          <w:spacing w:val="-2"/>
        </w:rPr>
        <w:t>Savings</w:t>
      </w:r>
      <w:r>
        <w:rPr>
          <w:color w:val="221F1F"/>
        </w:rPr>
        <w:tab/>
      </w:r>
      <w:r>
        <w:rPr>
          <w:color w:val="221F1F"/>
          <w:spacing w:val="-2"/>
        </w:rPr>
        <w:t>accounts</w:t>
      </w:r>
      <w:r>
        <w:rPr>
          <w:color w:val="221F1F"/>
        </w:rPr>
        <w:tab/>
      </w:r>
      <w:r>
        <w:rPr>
          <w:color w:val="221F1F"/>
          <w:spacing w:val="-4"/>
        </w:rPr>
        <w:t>for</w:t>
      </w:r>
      <w:r>
        <w:rPr>
          <w:color w:val="221F1F"/>
        </w:rPr>
        <w:tab/>
      </w:r>
      <w:r>
        <w:rPr>
          <w:color w:val="221F1F"/>
          <w:spacing w:val="-2"/>
        </w:rPr>
        <w:t>individuals </w:t>
      </w:r>
      <w:r>
        <w:rPr>
          <w:color w:val="221F1F"/>
        </w:rPr>
        <w:t>with disabilities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6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Save up to the annual gift </w:t>
      </w:r>
      <w:r>
        <w:rPr>
          <w:color w:val="221F1F"/>
          <w:sz w:val="26"/>
        </w:rPr>
        <w:t>tax exemption amount. Find this year’s amount on mississippiable.com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130" w:after="0"/>
        <w:ind w:left="451" w:right="38" w:hanging="172"/>
        <w:jc w:val="both"/>
        <w:rPr>
          <w:color w:val="221F1F"/>
          <w:position w:val="1"/>
          <w:sz w:val="24"/>
        </w:rPr>
      </w:pPr>
      <w:r>
        <w:rPr>
          <w:color w:val="221F1F"/>
          <w:sz w:val="26"/>
        </w:rPr>
        <w:t>An account owner who works </w:t>
      </w:r>
      <w:r>
        <w:rPr>
          <w:color w:val="221F1F"/>
          <w:sz w:val="26"/>
        </w:rPr>
        <w:t>can contribute an additional amount based on what the IRS allows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320" w:lineRule="exact" w:before="119" w:after="0"/>
        <w:ind w:left="450" w:right="0" w:hanging="170"/>
        <w:jc w:val="both"/>
        <w:rPr>
          <w:color w:val="221F1F"/>
          <w:position w:val="1"/>
          <w:sz w:val="24"/>
        </w:rPr>
      </w:pPr>
      <w:r>
        <w:rPr>
          <w:color w:val="221F1F"/>
          <w:sz w:val="26"/>
        </w:rPr>
        <w:t>The</w:t>
      </w:r>
      <w:r>
        <w:rPr>
          <w:color w:val="221F1F"/>
          <w:spacing w:val="23"/>
          <w:sz w:val="26"/>
        </w:rPr>
        <w:t>  </w:t>
      </w:r>
      <w:r>
        <w:rPr>
          <w:color w:val="221F1F"/>
          <w:sz w:val="26"/>
        </w:rPr>
        <w:t>maximum</w:t>
      </w:r>
      <w:r>
        <w:rPr>
          <w:color w:val="221F1F"/>
          <w:spacing w:val="24"/>
          <w:sz w:val="26"/>
        </w:rPr>
        <w:t>  </w:t>
      </w:r>
      <w:r>
        <w:rPr>
          <w:color w:val="221F1F"/>
          <w:sz w:val="26"/>
        </w:rPr>
        <w:t>balance</w:t>
      </w:r>
      <w:r>
        <w:rPr>
          <w:color w:val="221F1F"/>
          <w:spacing w:val="23"/>
          <w:sz w:val="26"/>
        </w:rPr>
        <w:t>  </w:t>
      </w:r>
      <w:r>
        <w:rPr>
          <w:color w:val="221F1F"/>
          <w:sz w:val="26"/>
        </w:rPr>
        <w:t>allowed</w:t>
      </w:r>
      <w:r>
        <w:rPr>
          <w:color w:val="221F1F"/>
          <w:spacing w:val="24"/>
          <w:sz w:val="26"/>
        </w:rPr>
        <w:t>  </w:t>
      </w:r>
      <w:r>
        <w:rPr>
          <w:color w:val="221F1F"/>
          <w:spacing w:val="-5"/>
          <w:sz w:val="26"/>
        </w:rPr>
        <w:t>is</w:t>
      </w:r>
    </w:p>
    <w:p>
      <w:pPr>
        <w:pStyle w:val="BodyText"/>
        <w:spacing w:line="228" w:lineRule="auto" w:before="5"/>
        <w:ind w:left="451" w:right="38"/>
        <w:jc w:val="both"/>
      </w:pPr>
      <w:r>
        <w:rPr>
          <w:color w:val="221F1F"/>
        </w:rPr>
        <w:t>$100,000 for SSI and $235,000 </w:t>
      </w:r>
      <w:r>
        <w:rPr>
          <w:color w:val="221F1F"/>
        </w:rPr>
        <w:t>for </w:t>
      </w:r>
      <w:r>
        <w:rPr>
          <w:color w:val="221F1F"/>
          <w:spacing w:val="-2"/>
        </w:rPr>
        <w:t>Medicaid</w:t>
      </w:r>
    </w:p>
    <w:p>
      <w:pPr>
        <w:pStyle w:val="Heading2"/>
        <w:spacing w:before="211"/>
      </w:pPr>
      <w:r>
        <w:rPr>
          <w:color w:val="221F1F"/>
        </w:rPr>
        <w:t>Will</w:t>
      </w:r>
      <w:r>
        <w:rPr>
          <w:color w:val="221F1F"/>
          <w:spacing w:val="-9"/>
        </w:rPr>
        <w:t> </w:t>
      </w:r>
      <w:r>
        <w:rPr>
          <w:color w:val="221F1F"/>
        </w:rPr>
        <w:t>not</w:t>
      </w:r>
      <w:r>
        <w:rPr>
          <w:color w:val="221F1F"/>
          <w:spacing w:val="-6"/>
        </w:rPr>
        <w:t> </w:t>
      </w:r>
      <w:r>
        <w:rPr>
          <w:color w:val="221F1F"/>
        </w:rPr>
        <w:t>affect</w:t>
      </w:r>
      <w:r>
        <w:rPr>
          <w:color w:val="221F1F"/>
          <w:spacing w:val="-6"/>
        </w:rPr>
        <w:t> </w:t>
      </w:r>
      <w:r>
        <w:rPr>
          <w:color w:val="221F1F"/>
        </w:rPr>
        <w:t>public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benefits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33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Eligibility for federal programs </w:t>
      </w:r>
      <w:r>
        <w:rPr>
          <w:color w:val="221F1F"/>
          <w:sz w:val="26"/>
        </w:rPr>
        <w:t>will not be affected by account balance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154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Balances under $100,000 </w:t>
      </w:r>
      <w:r>
        <w:rPr>
          <w:color w:val="221F1F"/>
          <w:sz w:val="26"/>
        </w:rPr>
        <w:t>excluded from SSI resource limit</w:t>
      </w:r>
    </w:p>
    <w:p>
      <w:pPr>
        <w:pStyle w:val="BodyText"/>
        <w:spacing w:before="52"/>
      </w:pPr>
    </w:p>
    <w:p>
      <w:pPr>
        <w:pStyle w:val="Heading2"/>
        <w:spacing w:line="204" w:lineRule="auto" w:before="1"/>
      </w:pPr>
      <w:r>
        <w:rPr>
          <w:color w:val="221F1F"/>
        </w:rPr>
        <w:t>Can</w:t>
      </w:r>
      <w:r>
        <w:rPr>
          <w:color w:val="221F1F"/>
          <w:spacing w:val="40"/>
        </w:rPr>
        <w:t> </w:t>
      </w:r>
      <w:r>
        <w:rPr>
          <w:color w:val="221F1F"/>
        </w:rPr>
        <w:t>be</w:t>
      </w:r>
      <w:r>
        <w:rPr>
          <w:color w:val="221F1F"/>
          <w:spacing w:val="40"/>
        </w:rPr>
        <w:t> </w:t>
      </w:r>
      <w:r>
        <w:rPr>
          <w:color w:val="221F1F"/>
        </w:rPr>
        <w:t>used</w:t>
      </w:r>
      <w:r>
        <w:rPr>
          <w:color w:val="221F1F"/>
          <w:spacing w:val="40"/>
        </w:rPr>
        <w:t> </w:t>
      </w:r>
      <w:r>
        <w:rPr>
          <w:color w:val="221F1F"/>
        </w:rPr>
        <w:t>for</w:t>
      </w:r>
      <w:r>
        <w:rPr>
          <w:color w:val="221F1F"/>
          <w:spacing w:val="40"/>
        </w:rPr>
        <w:t> </w:t>
      </w:r>
      <w:r>
        <w:rPr>
          <w:color w:val="221F1F"/>
        </w:rPr>
        <w:t>daily</w:t>
      </w:r>
      <w:r>
        <w:rPr>
          <w:color w:val="221F1F"/>
          <w:spacing w:val="40"/>
        </w:rPr>
        <w:t> </w:t>
      </w:r>
      <w:r>
        <w:rPr>
          <w:color w:val="221F1F"/>
        </w:rPr>
        <w:t>transactions and</w:t>
      </w:r>
      <w:r>
        <w:rPr>
          <w:rFonts w:ascii="Cyntho Slab Pro"/>
          <w:b w:val="0"/>
          <w:color w:val="221F1F"/>
        </w:rPr>
        <w:t>/</w:t>
      </w:r>
      <w:r>
        <w:rPr>
          <w:color w:val="221F1F"/>
        </w:rPr>
        <w:t>or long-term savings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22" w:after="0"/>
        <w:ind w:left="450" w:right="0" w:hanging="170"/>
        <w:jc w:val="both"/>
        <w:rPr>
          <w:color w:val="221F1F"/>
          <w:sz w:val="24"/>
        </w:rPr>
      </w:pPr>
      <w:r>
        <w:rPr>
          <w:color w:val="221F1F"/>
          <w:sz w:val="26"/>
        </w:rPr>
        <w:t>Debit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card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and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checking</w:t>
      </w:r>
      <w:r>
        <w:rPr>
          <w:color w:val="221F1F"/>
          <w:spacing w:val="-1"/>
          <w:sz w:val="26"/>
        </w:rPr>
        <w:t> </w:t>
      </w:r>
      <w:r>
        <w:rPr>
          <w:color w:val="221F1F"/>
          <w:spacing w:val="-2"/>
          <w:sz w:val="26"/>
        </w:rPr>
        <w:t>options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112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Low-risk to high-risk </w:t>
      </w:r>
      <w:r>
        <w:rPr>
          <w:color w:val="221F1F"/>
          <w:sz w:val="26"/>
        </w:rPr>
        <w:t>investment </w:t>
      </w:r>
      <w:r>
        <w:rPr>
          <w:color w:val="221F1F"/>
          <w:spacing w:val="-2"/>
          <w:sz w:val="26"/>
        </w:rPr>
        <w:t>options</w:t>
      </w:r>
    </w:p>
    <w:p>
      <w:pPr>
        <w:pStyle w:val="Heading2"/>
        <w:spacing w:before="262"/>
      </w:pPr>
      <w:r>
        <w:rPr>
          <w:color w:val="221F1F"/>
        </w:rPr>
        <w:t>May</w:t>
      </w:r>
      <w:r>
        <w:rPr>
          <w:color w:val="221F1F"/>
          <w:spacing w:val="-1"/>
        </w:rPr>
        <w:t> </w:t>
      </w:r>
      <w:r>
        <w:rPr>
          <w:color w:val="221F1F"/>
        </w:rPr>
        <w:t>provide</w:t>
      </w:r>
      <w:r>
        <w:rPr>
          <w:color w:val="221F1F"/>
          <w:spacing w:val="-1"/>
        </w:rPr>
        <w:t> </w:t>
      </w:r>
      <w:r>
        <w:rPr>
          <w:color w:val="221F1F"/>
        </w:rPr>
        <w:t>tax </w:t>
      </w:r>
      <w:r>
        <w:rPr>
          <w:color w:val="221F1F"/>
          <w:spacing w:val="-2"/>
        </w:rPr>
        <w:t>advantages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48" w:after="0"/>
        <w:ind w:left="450" w:right="0" w:hanging="170"/>
        <w:jc w:val="both"/>
        <w:rPr>
          <w:color w:val="221F1F"/>
          <w:sz w:val="24"/>
        </w:rPr>
      </w:pPr>
      <w:r>
        <w:rPr>
          <w:color w:val="221F1F"/>
          <w:sz w:val="26"/>
        </w:rPr>
        <w:t>Earnings</w:t>
      </w:r>
      <w:r>
        <w:rPr>
          <w:color w:val="221F1F"/>
          <w:spacing w:val="-4"/>
          <w:sz w:val="26"/>
        </w:rPr>
        <w:t> </w:t>
      </w:r>
      <w:r>
        <w:rPr>
          <w:color w:val="221F1F"/>
          <w:sz w:val="26"/>
        </w:rPr>
        <w:t>on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investment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are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tax</w:t>
      </w:r>
      <w:r>
        <w:rPr>
          <w:color w:val="221F1F"/>
          <w:spacing w:val="-2"/>
          <w:sz w:val="26"/>
        </w:rPr>
        <w:t> </w:t>
      </w:r>
      <w:r>
        <w:rPr>
          <w:color w:val="221F1F"/>
          <w:spacing w:val="-4"/>
          <w:sz w:val="26"/>
        </w:rPr>
        <w:t>free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1" w:val="left" w:leader="none"/>
        </w:tabs>
        <w:spacing w:line="228" w:lineRule="auto" w:before="134" w:after="0"/>
        <w:ind w:left="451" w:right="38" w:hanging="172"/>
        <w:jc w:val="both"/>
        <w:rPr>
          <w:color w:val="221F1F"/>
          <w:sz w:val="24"/>
        </w:rPr>
      </w:pPr>
      <w:r>
        <w:rPr>
          <w:color w:val="221F1F"/>
          <w:sz w:val="26"/>
        </w:rPr>
        <w:t>Deposits may qualify for state </w:t>
      </w:r>
      <w:r>
        <w:rPr>
          <w:color w:val="221F1F"/>
          <w:sz w:val="26"/>
        </w:rPr>
        <w:t>tax </w:t>
      </w:r>
      <w:r>
        <w:rPr>
          <w:color w:val="221F1F"/>
          <w:spacing w:val="-2"/>
          <w:sz w:val="26"/>
        </w:rPr>
        <w:t>deduction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331"/>
        <w:rPr>
          <w:sz w:val="30"/>
        </w:rPr>
      </w:pPr>
    </w:p>
    <w:p>
      <w:pPr>
        <w:pStyle w:val="Heading2"/>
      </w:pPr>
      <w:r>
        <w:rPr>
          <w:color w:val="221F1F"/>
        </w:rPr>
        <w:t>User </w:t>
      </w:r>
      <w:r>
        <w:rPr>
          <w:color w:val="221F1F"/>
          <w:spacing w:val="-2"/>
        </w:rPr>
        <w:t>Friendly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40" w:after="0"/>
        <w:ind w:left="450" w:right="0" w:hanging="171"/>
        <w:jc w:val="left"/>
        <w:rPr>
          <w:color w:val="221F1F"/>
          <w:sz w:val="24"/>
        </w:rPr>
      </w:pPr>
      <w:r>
        <w:rPr>
          <w:color w:val="221F1F"/>
          <w:sz w:val="26"/>
        </w:rPr>
        <w:t>Open</w:t>
      </w:r>
      <w:r>
        <w:rPr>
          <w:color w:val="221F1F"/>
          <w:spacing w:val="-2"/>
          <w:sz w:val="26"/>
        </w:rPr>
        <w:t> </w:t>
      </w:r>
      <w:r>
        <w:rPr>
          <w:color w:val="221F1F"/>
          <w:sz w:val="26"/>
        </w:rPr>
        <w:t>an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account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with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as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little</w:t>
      </w:r>
      <w:r>
        <w:rPr>
          <w:color w:val="221F1F"/>
          <w:spacing w:val="-1"/>
          <w:sz w:val="26"/>
        </w:rPr>
        <w:t> </w:t>
      </w:r>
      <w:r>
        <w:rPr>
          <w:color w:val="221F1F"/>
          <w:sz w:val="26"/>
        </w:rPr>
        <w:t>as</w:t>
      </w:r>
      <w:r>
        <w:rPr>
          <w:color w:val="221F1F"/>
          <w:spacing w:val="-1"/>
          <w:sz w:val="26"/>
        </w:rPr>
        <w:t> </w:t>
      </w:r>
      <w:r>
        <w:rPr>
          <w:color w:val="221F1F"/>
          <w:spacing w:val="-5"/>
          <w:sz w:val="26"/>
        </w:rPr>
        <w:t>$25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28" w:lineRule="auto" w:before="128" w:after="0"/>
        <w:ind w:left="451" w:right="143" w:hanging="172"/>
        <w:jc w:val="left"/>
        <w:rPr>
          <w:color w:val="221F1F"/>
          <w:sz w:val="24"/>
        </w:rPr>
      </w:pPr>
      <w:r>
        <w:rPr>
          <w:color w:val="221F1F"/>
          <w:sz w:val="26"/>
        </w:rPr>
        <w:t>Access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your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account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by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phone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or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online 24/7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28" w:lineRule="auto" w:before="94" w:after="0"/>
        <w:ind w:left="451" w:right="143" w:hanging="172"/>
        <w:jc w:val="left"/>
        <w:rPr>
          <w:color w:val="221F1F"/>
          <w:sz w:val="24"/>
        </w:rPr>
      </w:pPr>
      <w:r>
        <w:rPr>
          <w:color w:val="221F1F"/>
          <w:sz w:val="26"/>
        </w:rPr>
        <w:t>Checking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option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allows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easy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access to funds via a debit card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1366" w:val="left" w:leader="none"/>
          <w:tab w:pos="2571" w:val="left" w:leader="none"/>
          <w:tab w:pos="3658" w:val="left" w:leader="none"/>
          <w:tab w:pos="4871" w:val="left" w:leader="none"/>
        </w:tabs>
        <w:spacing w:line="228" w:lineRule="auto" w:before="132" w:after="0"/>
        <w:ind w:left="451" w:right="143" w:hanging="172"/>
        <w:jc w:val="left"/>
        <w:rPr>
          <w:color w:val="221F1F"/>
          <w:sz w:val="24"/>
        </w:rPr>
      </w:pPr>
      <w:r>
        <w:rPr>
          <w:color w:val="221F1F"/>
          <w:spacing w:val="-4"/>
          <w:sz w:val="26"/>
        </w:rPr>
        <w:t>Ugift</w:t>
      </w:r>
      <w:r>
        <w:rPr>
          <w:color w:val="221F1F"/>
          <w:sz w:val="26"/>
        </w:rPr>
        <w:tab/>
      </w:r>
      <w:r>
        <w:rPr>
          <w:color w:val="221F1F"/>
          <w:spacing w:val="-2"/>
          <w:sz w:val="26"/>
        </w:rPr>
        <w:t>feature</w:t>
      </w:r>
      <w:r>
        <w:rPr>
          <w:color w:val="221F1F"/>
          <w:sz w:val="26"/>
        </w:rPr>
        <w:tab/>
      </w:r>
      <w:r>
        <w:rPr>
          <w:color w:val="221F1F"/>
          <w:spacing w:val="-2"/>
          <w:sz w:val="26"/>
        </w:rPr>
        <w:t>allows</w:t>
      </w:r>
      <w:r>
        <w:rPr>
          <w:color w:val="221F1F"/>
          <w:sz w:val="26"/>
        </w:rPr>
        <w:tab/>
      </w:r>
      <w:r>
        <w:rPr>
          <w:color w:val="221F1F"/>
          <w:spacing w:val="-2"/>
          <w:sz w:val="26"/>
        </w:rPr>
        <w:t>anyone</w:t>
      </w:r>
      <w:r>
        <w:rPr>
          <w:color w:val="221F1F"/>
          <w:sz w:val="26"/>
        </w:rPr>
        <w:tab/>
      </w:r>
      <w:r>
        <w:rPr>
          <w:color w:val="221F1F"/>
          <w:spacing w:val="-6"/>
          <w:sz w:val="26"/>
        </w:rPr>
        <w:t>to </w:t>
      </w:r>
      <w:r>
        <w:rPr>
          <w:color w:val="221F1F"/>
          <w:sz w:val="26"/>
        </w:rPr>
        <w:t>contribute to your account</w:t>
      </w:r>
    </w:p>
    <w:p>
      <w:pPr>
        <w:pStyle w:val="Heading2"/>
        <w:spacing w:before="249"/>
      </w:pPr>
      <w:r>
        <w:rPr>
          <w:color w:val="221F1F"/>
        </w:rPr>
        <w:t>Low</w:t>
      </w:r>
      <w:r>
        <w:rPr>
          <w:color w:val="221F1F"/>
          <w:spacing w:val="9"/>
        </w:rPr>
        <w:t> </w:t>
      </w:r>
      <w:r>
        <w:rPr>
          <w:color w:val="221F1F"/>
          <w:spacing w:val="-4"/>
        </w:rPr>
        <w:t>Fees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28" w:lineRule="auto" w:before="53" w:after="0"/>
        <w:ind w:left="451" w:right="117" w:hanging="172"/>
        <w:jc w:val="left"/>
        <w:rPr>
          <w:color w:val="221F1F"/>
          <w:sz w:val="24"/>
        </w:rPr>
      </w:pPr>
      <w:r>
        <w:rPr>
          <w:color w:val="221F1F"/>
          <w:sz w:val="26"/>
        </w:rPr>
        <w:t>Fee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free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ATM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access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at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over</w:t>
      </w:r>
      <w:r>
        <w:rPr>
          <w:color w:val="221F1F"/>
          <w:spacing w:val="40"/>
          <w:sz w:val="26"/>
        </w:rPr>
        <w:t> </w:t>
      </w:r>
      <w:r>
        <w:rPr>
          <w:color w:val="221F1F"/>
          <w:sz w:val="26"/>
        </w:rPr>
        <w:t>340</w:t>
      </w:r>
      <w:r>
        <w:rPr>
          <w:color w:val="221F1F"/>
          <w:spacing w:val="80"/>
          <w:sz w:val="26"/>
        </w:rPr>
        <w:t> </w:t>
      </w:r>
      <w:r>
        <w:rPr>
          <w:color w:val="221F1F"/>
          <w:sz w:val="26"/>
        </w:rPr>
        <w:t>ATMs</w:t>
      </w:r>
      <w:r>
        <w:rPr>
          <w:color w:val="221F1F"/>
          <w:spacing w:val="-17"/>
          <w:sz w:val="26"/>
        </w:rPr>
        <w:t> </w:t>
      </w:r>
      <w:r>
        <w:rPr>
          <w:color w:val="221F1F"/>
          <w:sz w:val="26"/>
        </w:rPr>
        <w:t>located</w:t>
      </w:r>
      <w:r>
        <w:rPr>
          <w:color w:val="221F1F"/>
          <w:spacing w:val="-17"/>
          <w:sz w:val="26"/>
        </w:rPr>
        <w:t> </w:t>
      </w:r>
      <w:r>
        <w:rPr>
          <w:color w:val="221F1F"/>
          <w:sz w:val="26"/>
        </w:rPr>
        <w:t>throughout</w:t>
      </w:r>
      <w:r>
        <w:rPr>
          <w:color w:val="221F1F"/>
          <w:spacing w:val="-16"/>
          <w:sz w:val="26"/>
        </w:rPr>
        <w:t> </w:t>
      </w:r>
      <w:r>
        <w:rPr>
          <w:color w:val="221F1F"/>
          <w:sz w:val="26"/>
        </w:rPr>
        <w:t>Mississippi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1206" w:val="left" w:leader="none"/>
          <w:tab w:pos="2660" w:val="left" w:leader="none"/>
          <w:tab w:pos="3344" w:val="left" w:leader="none"/>
          <w:tab w:pos="4890" w:val="left" w:leader="none"/>
        </w:tabs>
        <w:spacing w:line="228" w:lineRule="auto" w:before="170" w:after="0"/>
        <w:ind w:left="451" w:right="143" w:hanging="172"/>
        <w:jc w:val="left"/>
        <w:rPr>
          <w:color w:val="221F1F"/>
          <w:sz w:val="24"/>
        </w:rPr>
      </w:pPr>
      <w:r>
        <w:rPr>
          <w:color w:val="221F1F"/>
          <w:spacing w:val="-4"/>
          <w:sz w:val="26"/>
        </w:rPr>
        <w:t>Flat</w:t>
      </w:r>
      <w:r>
        <w:rPr>
          <w:color w:val="221F1F"/>
          <w:sz w:val="26"/>
        </w:rPr>
        <w:tab/>
      </w:r>
      <w:r>
        <w:rPr>
          <w:color w:val="221F1F"/>
          <w:spacing w:val="-2"/>
          <w:sz w:val="26"/>
        </w:rPr>
        <w:t>quarterly</w:t>
      </w:r>
      <w:r>
        <w:rPr>
          <w:color w:val="221F1F"/>
          <w:sz w:val="26"/>
        </w:rPr>
        <w:tab/>
      </w:r>
      <w:r>
        <w:rPr>
          <w:color w:val="221F1F"/>
          <w:spacing w:val="-4"/>
          <w:sz w:val="26"/>
        </w:rPr>
        <w:t>fee,</w:t>
      </w:r>
      <w:r>
        <w:rPr>
          <w:color w:val="221F1F"/>
          <w:sz w:val="26"/>
        </w:rPr>
        <w:tab/>
      </w:r>
      <w:r>
        <w:rPr>
          <w:color w:val="221F1F"/>
          <w:spacing w:val="-2"/>
          <w:sz w:val="26"/>
        </w:rPr>
        <w:t>regardless</w:t>
      </w:r>
      <w:r>
        <w:rPr>
          <w:color w:val="221F1F"/>
          <w:sz w:val="26"/>
        </w:rPr>
        <w:tab/>
      </w:r>
      <w:r>
        <w:rPr>
          <w:color w:val="221F1F"/>
          <w:spacing w:val="-6"/>
          <w:sz w:val="26"/>
        </w:rPr>
        <w:t>of </w:t>
      </w:r>
      <w:r>
        <w:rPr>
          <w:color w:val="221F1F"/>
          <w:sz w:val="26"/>
        </w:rPr>
        <w:t>account balance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65" w:after="0"/>
        <w:ind w:left="450" w:right="0" w:hanging="171"/>
        <w:jc w:val="left"/>
        <w:rPr>
          <w:color w:val="221F1F"/>
          <w:sz w:val="24"/>
        </w:rPr>
      </w:pPr>
      <w:r>
        <w:rPr>
          <w:color w:val="221F1F"/>
          <w:sz w:val="26"/>
        </w:rPr>
        <w:t>No transaction </w:t>
      </w:r>
      <w:r>
        <w:rPr>
          <w:color w:val="221F1F"/>
          <w:spacing w:val="-4"/>
          <w:sz w:val="26"/>
        </w:rPr>
        <w:t>fees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7280" w:h="12960" w:orient="landscape"/>
          <w:pgMar w:top="240" w:bottom="280" w:left="260" w:right="220"/>
          <w:cols w:num="3" w:equalWidth="0">
            <w:col w:w="5184" w:space="613"/>
            <w:col w:w="5184" w:space="531"/>
            <w:col w:w="5288"/>
          </w:cols>
        </w:sectPr>
      </w:pPr>
    </w:p>
    <w:p>
      <w:pPr>
        <w:spacing w:line="228" w:lineRule="auto" w:before="85"/>
        <w:ind w:left="5707" w:right="5768" w:firstLine="0"/>
        <w:jc w:val="center"/>
        <w:rPr>
          <w:sz w:val="30"/>
        </w:rPr>
      </w:pPr>
      <w:r>
        <w:rPr>
          <w:color w:val="221F1F"/>
          <w:sz w:val="30"/>
        </w:rPr>
        <w:t>To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learn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more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about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ABLE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or</w:t>
      </w:r>
      <w:r>
        <w:rPr>
          <w:color w:val="221F1F"/>
          <w:spacing w:val="-13"/>
          <w:sz w:val="30"/>
        </w:rPr>
        <w:t> </w:t>
      </w:r>
      <w:r>
        <w:rPr>
          <w:color w:val="221F1F"/>
          <w:sz w:val="30"/>
        </w:rPr>
        <w:t>sign up, visit mississippiable.com</w:t>
      </w:r>
    </w:p>
    <w:p>
      <w:pPr>
        <w:spacing w:line="228" w:lineRule="auto" w:before="328"/>
        <w:ind w:left="5707" w:right="5768" w:firstLine="0"/>
        <w:jc w:val="center"/>
        <w:rPr>
          <w:sz w:val="30"/>
        </w:rPr>
      </w:pPr>
      <w:r>
        <w:rPr>
          <w:color w:val="221F1F"/>
          <w:sz w:val="30"/>
        </w:rPr>
        <w:t>Order</w:t>
      </w:r>
      <w:r>
        <w:rPr>
          <w:color w:val="221F1F"/>
          <w:spacing w:val="-14"/>
          <w:sz w:val="30"/>
        </w:rPr>
        <w:t> </w:t>
      </w:r>
      <w:r>
        <w:rPr>
          <w:color w:val="221F1F"/>
          <w:sz w:val="30"/>
        </w:rPr>
        <w:t>brochures</w:t>
      </w:r>
      <w:r>
        <w:rPr>
          <w:color w:val="221F1F"/>
          <w:spacing w:val="-14"/>
          <w:sz w:val="30"/>
        </w:rPr>
        <w:t> </w:t>
      </w:r>
      <w:r>
        <w:rPr>
          <w:color w:val="221F1F"/>
          <w:sz w:val="30"/>
        </w:rPr>
        <w:t>or</w:t>
      </w:r>
      <w:r>
        <w:rPr>
          <w:color w:val="221F1F"/>
          <w:spacing w:val="-14"/>
          <w:sz w:val="30"/>
        </w:rPr>
        <w:t> </w:t>
      </w:r>
      <w:r>
        <w:rPr>
          <w:color w:val="221F1F"/>
          <w:sz w:val="30"/>
        </w:rPr>
        <w:t>schedule</w:t>
      </w:r>
      <w:r>
        <w:rPr>
          <w:color w:val="221F1F"/>
          <w:spacing w:val="-14"/>
          <w:sz w:val="30"/>
        </w:rPr>
        <w:t> </w:t>
      </w:r>
      <w:r>
        <w:rPr>
          <w:color w:val="221F1F"/>
          <w:sz w:val="30"/>
        </w:rPr>
        <w:t>a presentation, email </w:t>
      </w:r>
      <w:hyperlink r:id="rId5">
        <w:r>
          <w:rPr>
            <w:color w:val="221F1F"/>
            <w:spacing w:val="-2"/>
            <w:sz w:val="30"/>
          </w:rPr>
          <w:t>msableinfo@mdrs.ms.gov</w:t>
        </w:r>
      </w:hyperlink>
    </w:p>
    <w:p>
      <w:pPr>
        <w:spacing w:line="228" w:lineRule="auto" w:before="224"/>
        <w:ind w:left="5707" w:right="5768" w:firstLine="0"/>
        <w:jc w:val="center"/>
        <w:rPr>
          <w:sz w:val="30"/>
        </w:rPr>
      </w:pPr>
      <w:r>
        <w:rPr>
          <w:color w:val="221F1F"/>
          <w:sz w:val="30"/>
        </w:rPr>
        <w:t>Contact</w:t>
      </w:r>
      <w:r>
        <w:rPr>
          <w:color w:val="221F1F"/>
          <w:spacing w:val="-20"/>
          <w:sz w:val="30"/>
        </w:rPr>
        <w:t> </w:t>
      </w:r>
      <w:r>
        <w:rPr>
          <w:color w:val="221F1F"/>
          <w:sz w:val="30"/>
        </w:rPr>
        <w:t>customer</w:t>
      </w:r>
      <w:r>
        <w:rPr>
          <w:color w:val="221F1F"/>
          <w:spacing w:val="-19"/>
          <w:sz w:val="30"/>
        </w:rPr>
        <w:t> </w:t>
      </w:r>
      <w:r>
        <w:rPr>
          <w:color w:val="221F1F"/>
          <w:sz w:val="30"/>
        </w:rPr>
        <w:t>service </w:t>
      </w:r>
      <w:r>
        <w:rPr>
          <w:color w:val="221F1F"/>
          <w:spacing w:val="-2"/>
          <w:sz w:val="30"/>
        </w:rPr>
        <w:t>888.609.3469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after="0"/>
        <w:rPr>
          <w:sz w:val="20"/>
        </w:rPr>
        <w:sectPr>
          <w:pgSz w:w="17280" w:h="12960" w:orient="landscape"/>
          <w:pgMar w:top="1420" w:bottom="280" w:left="260" w:right="220"/>
        </w:sectPr>
      </w:pPr>
    </w:p>
    <w:p>
      <w:pPr>
        <w:pStyle w:val="Heading1"/>
        <w:spacing w:line="232" w:lineRule="auto" w:before="110"/>
        <w:ind w:left="114" w:right="336"/>
      </w:pPr>
      <w:r>
        <w:rPr>
          <w:color w:val="221F1F"/>
        </w:rPr>
        <w:t>Qualified</w:t>
      </w:r>
      <w:r>
        <w:rPr>
          <w:color w:val="221F1F"/>
          <w:spacing w:val="-25"/>
        </w:rPr>
        <w:t> </w:t>
      </w:r>
      <w:r>
        <w:rPr>
          <w:color w:val="221F1F"/>
        </w:rPr>
        <w:t>Disability Living Expenses</w:t>
      </w:r>
    </w:p>
    <w:p>
      <w:pPr>
        <w:pStyle w:val="Heading2"/>
        <w:spacing w:before="99"/>
        <w:ind w:left="117"/>
      </w:pPr>
      <w:r>
        <w:rPr>
          <w:color w:val="221F1F"/>
        </w:rPr>
        <w:t>Included</w:t>
      </w:r>
      <w:r>
        <w:rPr>
          <w:color w:val="221F1F"/>
          <w:spacing w:val="-1"/>
        </w:rPr>
        <w:t> </w:t>
      </w:r>
      <w:r>
        <w:rPr>
          <w:color w:val="221F1F"/>
        </w:rPr>
        <w:t>but</w:t>
      </w:r>
      <w:r>
        <w:rPr>
          <w:color w:val="221F1F"/>
          <w:spacing w:val="-1"/>
        </w:rPr>
        <w:t> </w:t>
      </w:r>
      <w:r>
        <w:rPr>
          <w:color w:val="221F1F"/>
        </w:rPr>
        <w:t>are</w:t>
      </w:r>
      <w:r>
        <w:rPr>
          <w:color w:val="221F1F"/>
          <w:spacing w:val="-1"/>
        </w:rPr>
        <w:t> </w:t>
      </w:r>
      <w:r>
        <w:rPr>
          <w:color w:val="221F1F"/>
        </w:rPr>
        <w:t>not</w:t>
      </w:r>
      <w:r>
        <w:rPr>
          <w:color w:val="221F1F"/>
          <w:spacing w:val="-1"/>
        </w:rPr>
        <w:t> </w:t>
      </w:r>
      <w:r>
        <w:rPr>
          <w:color w:val="221F1F"/>
        </w:rPr>
        <w:t>limited </w:t>
      </w:r>
      <w:r>
        <w:rPr>
          <w:color w:val="221F1F"/>
          <w:spacing w:val="-5"/>
        </w:rPr>
        <w:t>to: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164" w:after="0"/>
        <w:ind w:left="717" w:right="0" w:hanging="240"/>
        <w:jc w:val="left"/>
        <w:rPr>
          <w:sz w:val="24"/>
        </w:rPr>
      </w:pPr>
      <w:r>
        <w:rPr>
          <w:color w:val="221F1F"/>
          <w:spacing w:val="-2"/>
          <w:sz w:val="24"/>
        </w:rPr>
        <w:t>Education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Health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and </w:t>
      </w:r>
      <w:r>
        <w:rPr>
          <w:color w:val="221F1F"/>
          <w:spacing w:val="-2"/>
          <w:sz w:val="24"/>
        </w:rPr>
        <w:t>wellness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pacing w:val="-2"/>
          <w:sz w:val="24"/>
        </w:rPr>
        <w:t>Housing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8" w:after="0"/>
        <w:ind w:left="717" w:right="0" w:hanging="240"/>
        <w:jc w:val="left"/>
        <w:rPr>
          <w:sz w:val="24"/>
        </w:rPr>
      </w:pPr>
      <w:r>
        <w:rPr>
          <w:color w:val="221F1F"/>
          <w:spacing w:val="-2"/>
          <w:sz w:val="24"/>
        </w:rPr>
        <w:t>Transportation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Legal </w:t>
      </w:r>
      <w:r>
        <w:rPr>
          <w:color w:val="221F1F"/>
          <w:spacing w:val="-4"/>
          <w:sz w:val="24"/>
        </w:rPr>
        <w:t>fees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8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Financial </w:t>
      </w:r>
      <w:r>
        <w:rPr>
          <w:color w:val="221F1F"/>
          <w:spacing w:val="-2"/>
          <w:sz w:val="24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Employment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training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> </w:t>
      </w:r>
      <w:r>
        <w:rPr>
          <w:color w:val="221F1F"/>
          <w:spacing w:val="-2"/>
          <w:sz w:val="24"/>
        </w:rPr>
        <w:t>support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8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Assistive</w:t>
      </w:r>
      <w:r>
        <w:rPr>
          <w:color w:val="221F1F"/>
          <w:spacing w:val="-5"/>
          <w:sz w:val="24"/>
        </w:rPr>
        <w:t> </w:t>
      </w:r>
      <w:r>
        <w:rPr>
          <w:color w:val="221F1F"/>
          <w:spacing w:val="-2"/>
          <w:sz w:val="24"/>
        </w:rPr>
        <w:t>technology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Funeral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and burial </w:t>
      </w:r>
      <w:r>
        <w:rPr>
          <w:color w:val="221F1F"/>
          <w:spacing w:val="-2"/>
          <w:sz w:val="24"/>
        </w:rPr>
        <w:t>expenses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7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Personal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support</w:t>
      </w:r>
      <w:r>
        <w:rPr>
          <w:color w:val="221F1F"/>
          <w:spacing w:val="-3"/>
          <w:sz w:val="24"/>
        </w:rPr>
        <w:t> </w:t>
      </w:r>
      <w:r>
        <w:rPr>
          <w:color w:val="221F1F"/>
          <w:spacing w:val="-2"/>
          <w:sz w:val="24"/>
        </w:rPr>
        <w:t>services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0" w:lineRule="auto" w:before="38" w:after="0"/>
        <w:ind w:left="717" w:right="0" w:hanging="240"/>
        <w:jc w:val="left"/>
        <w:rPr>
          <w:sz w:val="24"/>
        </w:rPr>
      </w:pPr>
      <w:r>
        <w:rPr>
          <w:color w:val="221F1F"/>
          <w:sz w:val="24"/>
        </w:rPr>
        <w:t>Basic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living </w:t>
      </w:r>
      <w:r>
        <w:rPr>
          <w:color w:val="221F1F"/>
          <w:spacing w:val="-2"/>
          <w:sz w:val="24"/>
        </w:rPr>
        <w:t>expenses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spacing w:line="247" w:lineRule="auto" w:before="0"/>
        <w:ind w:left="114" w:right="38" w:firstLine="0"/>
        <w:jc w:val="both"/>
        <w:rPr>
          <w:rFonts w:ascii="Gill Sans MT" w:hAnsi="Gill Sans MT"/>
          <w:sz w:val="14"/>
        </w:rPr>
      </w:pPr>
      <w:r>
        <w:rPr>
          <w:rFonts w:ascii="Gill Sans MT" w:hAnsi="Gill Sans MT"/>
          <w:color w:val="221F1F"/>
          <w:w w:val="105"/>
          <w:sz w:val="14"/>
        </w:rPr>
        <w:t>*Disclaimer:</w:t>
      </w:r>
      <w:r>
        <w:rPr>
          <w:rFonts w:ascii="Gill Sans MT" w:hAnsi="Gill Sans MT"/>
          <w:color w:val="221F1F"/>
          <w:spacing w:val="-11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The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information</w:t>
      </w:r>
      <w:r>
        <w:rPr>
          <w:rFonts w:ascii="Gill Sans MT" w:hAnsi="Gill Sans MT"/>
          <w:color w:val="221F1F"/>
          <w:spacing w:val="-6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provided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this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flyer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is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general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background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information only,</w:t>
      </w:r>
      <w:r>
        <w:rPr>
          <w:rFonts w:ascii="Gill Sans MT" w:hAnsi="Gill Sans MT"/>
          <w:color w:val="221F1F"/>
          <w:w w:val="105"/>
          <w:sz w:val="14"/>
        </w:rPr>
        <w:t> is</w:t>
      </w:r>
      <w:r>
        <w:rPr>
          <w:rFonts w:ascii="Gill Sans MT" w:hAnsi="Gill Sans MT"/>
          <w:color w:val="221F1F"/>
          <w:w w:val="105"/>
          <w:sz w:val="14"/>
        </w:rPr>
        <w:t> given</w:t>
      </w:r>
      <w:r>
        <w:rPr>
          <w:rFonts w:ascii="Gill Sans MT" w:hAnsi="Gill Sans MT"/>
          <w:color w:val="221F1F"/>
          <w:w w:val="105"/>
          <w:sz w:val="14"/>
        </w:rPr>
        <w:t> in</w:t>
      </w:r>
      <w:r>
        <w:rPr>
          <w:rFonts w:ascii="Gill Sans MT" w:hAnsi="Gill Sans MT"/>
          <w:color w:val="221F1F"/>
          <w:w w:val="105"/>
          <w:sz w:val="14"/>
        </w:rPr>
        <w:t> summary</w:t>
      </w:r>
      <w:r>
        <w:rPr>
          <w:rFonts w:ascii="Gill Sans MT" w:hAnsi="Gill Sans MT"/>
          <w:color w:val="221F1F"/>
          <w:w w:val="105"/>
          <w:sz w:val="14"/>
        </w:rPr>
        <w:t> form,</w:t>
      </w:r>
      <w:r>
        <w:rPr>
          <w:rFonts w:ascii="Gill Sans MT" w:hAnsi="Gill Sans MT"/>
          <w:color w:val="221F1F"/>
          <w:w w:val="105"/>
          <w:sz w:val="14"/>
        </w:rPr>
        <w:t> and</w:t>
      </w:r>
      <w:r>
        <w:rPr>
          <w:rFonts w:ascii="Gill Sans MT" w:hAnsi="Gill Sans MT"/>
          <w:color w:val="221F1F"/>
          <w:w w:val="105"/>
          <w:sz w:val="14"/>
        </w:rPr>
        <w:t> does</w:t>
      </w:r>
      <w:r>
        <w:rPr>
          <w:rFonts w:ascii="Gill Sans MT" w:hAnsi="Gill Sans MT"/>
          <w:color w:val="221F1F"/>
          <w:w w:val="105"/>
          <w:sz w:val="14"/>
        </w:rPr>
        <w:t> not</w:t>
      </w:r>
      <w:r>
        <w:rPr>
          <w:rFonts w:ascii="Gill Sans MT" w:hAnsi="Gill Sans MT"/>
          <w:color w:val="221F1F"/>
          <w:w w:val="105"/>
          <w:sz w:val="14"/>
        </w:rPr>
        <w:t> purport</w:t>
      </w:r>
      <w:r>
        <w:rPr>
          <w:rFonts w:ascii="Gill Sans MT" w:hAnsi="Gill Sans MT"/>
          <w:color w:val="221F1F"/>
          <w:w w:val="105"/>
          <w:sz w:val="14"/>
        </w:rPr>
        <w:t> to</w:t>
      </w:r>
      <w:r>
        <w:rPr>
          <w:rFonts w:ascii="Gill Sans MT" w:hAnsi="Gill Sans MT"/>
          <w:color w:val="221F1F"/>
          <w:w w:val="105"/>
          <w:sz w:val="14"/>
        </w:rPr>
        <w:t> be</w:t>
      </w:r>
      <w:r>
        <w:rPr>
          <w:rFonts w:ascii="Gill Sans MT" w:hAnsi="Gill Sans MT"/>
          <w:color w:val="221F1F"/>
          <w:w w:val="105"/>
          <w:sz w:val="14"/>
        </w:rPr>
        <w:t> complete.</w:t>
      </w:r>
      <w:r>
        <w:rPr>
          <w:rFonts w:ascii="Gill Sans MT" w:hAnsi="Gill Sans MT"/>
          <w:color w:val="221F1F"/>
          <w:w w:val="105"/>
          <w:sz w:val="14"/>
        </w:rPr>
        <w:t> If</w:t>
      </w:r>
      <w:r>
        <w:rPr>
          <w:rFonts w:ascii="Gill Sans MT" w:hAnsi="Gill Sans MT"/>
          <w:color w:val="221F1F"/>
          <w:w w:val="105"/>
          <w:sz w:val="14"/>
        </w:rPr>
        <w:t> you</w:t>
      </w:r>
      <w:r>
        <w:rPr>
          <w:rFonts w:ascii="Gill Sans MT" w:hAnsi="Gill Sans MT"/>
          <w:color w:val="221F1F"/>
          <w:w w:val="105"/>
          <w:sz w:val="14"/>
        </w:rPr>
        <w:t> are considering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opening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an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ABLE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account,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you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should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seek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competent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advice</w:t>
      </w:r>
      <w:r>
        <w:rPr>
          <w:rFonts w:ascii="Gill Sans MT" w:hAnsi="Gill Sans MT"/>
          <w:color w:val="221F1F"/>
          <w:spacing w:val="-7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concerning the</w:t>
      </w:r>
      <w:r>
        <w:rPr>
          <w:rFonts w:ascii="Gill Sans MT" w:hAnsi="Gill Sans MT"/>
          <w:color w:val="221F1F"/>
          <w:w w:val="105"/>
          <w:sz w:val="14"/>
        </w:rPr>
        <w:t> effect</w:t>
      </w:r>
      <w:r>
        <w:rPr>
          <w:rFonts w:ascii="Gill Sans MT" w:hAnsi="Gill Sans MT"/>
          <w:color w:val="221F1F"/>
          <w:w w:val="105"/>
          <w:sz w:val="14"/>
        </w:rPr>
        <w:t> of</w:t>
      </w:r>
      <w:r>
        <w:rPr>
          <w:rFonts w:ascii="Gill Sans MT" w:hAnsi="Gill Sans MT"/>
          <w:color w:val="221F1F"/>
          <w:w w:val="105"/>
          <w:sz w:val="14"/>
        </w:rPr>
        <w:t> opening</w:t>
      </w:r>
      <w:r>
        <w:rPr>
          <w:rFonts w:ascii="Gill Sans MT" w:hAnsi="Gill Sans MT"/>
          <w:color w:val="221F1F"/>
          <w:w w:val="105"/>
          <w:sz w:val="14"/>
        </w:rPr>
        <w:t> and</w:t>
      </w:r>
      <w:r>
        <w:rPr>
          <w:rFonts w:ascii="Gill Sans MT" w:hAnsi="Gill Sans MT"/>
          <w:color w:val="221F1F"/>
          <w:w w:val="105"/>
          <w:sz w:val="14"/>
        </w:rPr>
        <w:t> contributing</w:t>
      </w:r>
      <w:r>
        <w:rPr>
          <w:rFonts w:ascii="Gill Sans MT" w:hAnsi="Gill Sans MT"/>
          <w:color w:val="221F1F"/>
          <w:w w:val="105"/>
          <w:sz w:val="14"/>
        </w:rPr>
        <w:t> to</w:t>
      </w:r>
      <w:r>
        <w:rPr>
          <w:rFonts w:ascii="Gill Sans MT" w:hAnsi="Gill Sans MT"/>
          <w:color w:val="221F1F"/>
          <w:w w:val="105"/>
          <w:sz w:val="14"/>
        </w:rPr>
        <w:t> an</w:t>
      </w:r>
      <w:r>
        <w:rPr>
          <w:rFonts w:ascii="Gill Sans MT" w:hAnsi="Gill Sans MT"/>
          <w:color w:val="221F1F"/>
          <w:w w:val="105"/>
          <w:sz w:val="14"/>
        </w:rPr>
        <w:t> ABLE</w:t>
      </w:r>
      <w:r>
        <w:rPr>
          <w:rFonts w:ascii="Gill Sans MT" w:hAnsi="Gill Sans MT"/>
          <w:color w:val="221F1F"/>
          <w:w w:val="105"/>
          <w:sz w:val="14"/>
        </w:rPr>
        <w:t> account</w:t>
      </w:r>
      <w:r>
        <w:rPr>
          <w:rFonts w:ascii="Gill Sans MT" w:hAnsi="Gill Sans MT"/>
          <w:color w:val="221F1F"/>
          <w:w w:val="105"/>
          <w:sz w:val="14"/>
        </w:rPr>
        <w:t> on</w:t>
      </w:r>
      <w:r>
        <w:rPr>
          <w:rFonts w:ascii="Gill Sans MT" w:hAnsi="Gill Sans MT"/>
          <w:color w:val="221F1F"/>
          <w:w w:val="105"/>
          <w:sz w:val="14"/>
        </w:rPr>
        <w:t> the</w:t>
      </w:r>
      <w:r>
        <w:rPr>
          <w:rFonts w:ascii="Gill Sans MT" w:hAnsi="Gill Sans MT"/>
          <w:color w:val="221F1F"/>
          <w:w w:val="105"/>
          <w:sz w:val="14"/>
        </w:rPr>
        <w:t> eligibility</w:t>
      </w:r>
      <w:r>
        <w:rPr>
          <w:rFonts w:ascii="Gill Sans MT" w:hAnsi="Gill Sans MT"/>
          <w:color w:val="221F1F"/>
          <w:w w:val="105"/>
          <w:sz w:val="14"/>
        </w:rPr>
        <w:t> or continued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eligibility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for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federal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and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state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government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benefits.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Funds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remaining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</w:t>
      </w:r>
      <w:r>
        <w:rPr>
          <w:rFonts w:ascii="Gill Sans MT" w:hAnsi="Gill Sans MT"/>
          <w:color w:val="221F1F"/>
          <w:spacing w:val="-2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an ABLE account may be subject to Medicaid recovery upon the death of the account </w:t>
      </w:r>
      <w:r>
        <w:rPr>
          <w:rFonts w:ascii="Gill Sans MT" w:hAnsi="Gill Sans MT"/>
          <w:color w:val="221F1F"/>
          <w:sz w:val="14"/>
        </w:rPr>
        <w:t>owner.</w:t>
      </w:r>
      <w:r>
        <w:rPr>
          <w:rFonts w:ascii="Gill Sans MT" w:hAnsi="Gill Sans MT"/>
          <w:color w:val="221F1F"/>
          <w:spacing w:val="-10"/>
          <w:sz w:val="14"/>
        </w:rPr>
        <w:t> </w:t>
      </w:r>
      <w:r>
        <w:rPr>
          <w:rFonts w:ascii="Gill Sans MT" w:hAnsi="Gill Sans MT"/>
          <w:color w:val="221F1F"/>
          <w:sz w:val="14"/>
        </w:rPr>
        <w:t>You</w:t>
      </w:r>
      <w:r>
        <w:rPr>
          <w:rFonts w:ascii="Gill Sans MT" w:hAnsi="Gill Sans MT"/>
          <w:color w:val="221F1F"/>
          <w:spacing w:val="-4"/>
          <w:sz w:val="14"/>
        </w:rPr>
        <w:t> </w:t>
      </w:r>
      <w:r>
        <w:rPr>
          <w:rFonts w:ascii="Gill Sans MT" w:hAnsi="Gill Sans MT"/>
          <w:color w:val="221F1F"/>
          <w:sz w:val="14"/>
        </w:rPr>
        <w:t>should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also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seek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the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advice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of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a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professional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concerning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any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financial,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tax,</w:t>
      </w:r>
      <w:r>
        <w:rPr>
          <w:rFonts w:ascii="Gill Sans MT" w:hAnsi="Gill Sans MT"/>
          <w:color w:val="221F1F"/>
          <w:spacing w:val="-3"/>
          <w:sz w:val="14"/>
        </w:rPr>
        <w:t> </w:t>
      </w:r>
      <w:r>
        <w:rPr>
          <w:rFonts w:ascii="Gill Sans MT" w:hAnsi="Gill Sans MT"/>
          <w:color w:val="221F1F"/>
          <w:sz w:val="14"/>
        </w:rPr>
        <w:t>or</w:t>
      </w:r>
      <w:r>
        <w:rPr>
          <w:rFonts w:ascii="Gill Sans MT" w:hAnsi="Gill Sans MT"/>
          <w:color w:val="221F1F"/>
          <w:w w:val="105"/>
          <w:sz w:val="14"/>
        </w:rPr>
        <w:t> legal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implications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related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to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opening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and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maintaining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an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ABLE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account.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Participating</w:t>
      </w:r>
      <w:r>
        <w:rPr>
          <w:rFonts w:ascii="Gill Sans MT" w:hAnsi="Gill Sans MT"/>
          <w:color w:val="221F1F"/>
          <w:spacing w:val="-10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 Mississippi’s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ABLE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Program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may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involve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investment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risk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including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the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possible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loss</w:t>
      </w:r>
      <w:r>
        <w:rPr>
          <w:rFonts w:ascii="Gill Sans MT" w:hAnsi="Gill Sans MT"/>
          <w:color w:val="221F1F"/>
          <w:spacing w:val="-5"/>
          <w:w w:val="105"/>
          <w:sz w:val="14"/>
        </w:rPr>
        <w:t> </w:t>
      </w:r>
      <w:r>
        <w:rPr>
          <w:rFonts w:ascii="Gill Sans MT" w:hAnsi="Gill Sans MT"/>
          <w:color w:val="221F1F"/>
          <w:w w:val="105"/>
          <w:sz w:val="14"/>
        </w:rPr>
        <w:t>of </w:t>
      </w:r>
      <w:r>
        <w:rPr>
          <w:rFonts w:ascii="Gill Sans MT" w:hAnsi="Gill Sans MT"/>
          <w:color w:val="221F1F"/>
          <w:spacing w:val="-2"/>
          <w:w w:val="105"/>
          <w:sz w:val="14"/>
        </w:rPr>
        <w:t>principal.</w:t>
      </w:r>
    </w:p>
    <w:p>
      <w:pPr>
        <w:spacing w:line="240" w:lineRule="auto" w:before="0"/>
        <w:rPr>
          <w:rFonts w:ascii="Gill Sans MT"/>
          <w:sz w:val="26"/>
        </w:rPr>
      </w:pPr>
      <w:r>
        <w:rPr/>
        <w:br w:type="column"/>
      </w:r>
      <w:r>
        <w:rPr>
          <w:rFonts w:ascii="Gill Sans MT"/>
          <w:sz w:val="26"/>
        </w:rPr>
      </w:r>
    </w:p>
    <w:p>
      <w:pPr>
        <w:pStyle w:val="BodyText"/>
        <w:spacing w:before="224"/>
        <w:rPr>
          <w:rFonts w:ascii="Gill Sans MT"/>
        </w:rPr>
      </w:pPr>
    </w:p>
    <w:p>
      <w:pPr>
        <w:pStyle w:val="BodyText"/>
        <w:spacing w:line="230" w:lineRule="auto"/>
        <w:ind w:left="406" w:right="137" w:hanging="292"/>
      </w:pPr>
      <w:r>
        <w:rPr>
          <w:color w:val="221F1F"/>
        </w:rPr>
        <w:t>Allowing</w:t>
      </w:r>
      <w:r>
        <w:rPr>
          <w:color w:val="221F1F"/>
          <w:spacing w:val="-6"/>
        </w:rPr>
        <w:t> </w:t>
      </w:r>
      <w:r>
        <w:rPr>
          <w:color w:val="221F1F"/>
        </w:rPr>
        <w:t>individuals</w:t>
      </w:r>
      <w:r>
        <w:rPr>
          <w:color w:val="221F1F"/>
          <w:spacing w:val="-6"/>
        </w:rPr>
        <w:t> </w:t>
      </w:r>
      <w:r>
        <w:rPr>
          <w:color w:val="221F1F"/>
        </w:rPr>
        <w:t>with</w:t>
      </w:r>
      <w:r>
        <w:rPr>
          <w:color w:val="221F1F"/>
          <w:spacing w:val="-6"/>
        </w:rPr>
        <w:t> </w:t>
      </w:r>
      <w:r>
        <w:rPr>
          <w:color w:val="221F1F"/>
        </w:rPr>
        <w:t>disabilities</w:t>
      </w:r>
      <w:r>
        <w:rPr>
          <w:color w:val="221F1F"/>
          <w:spacing w:val="-6"/>
        </w:rPr>
        <w:t> </w:t>
      </w:r>
      <w:r>
        <w:rPr>
          <w:color w:val="221F1F"/>
        </w:rPr>
        <w:t>to save without losing public benefits</w:t>
      </w:r>
    </w:p>
    <w:p>
      <w:pPr>
        <w:spacing w:after="0" w:line="230" w:lineRule="auto"/>
        <w:sectPr>
          <w:type w:val="continuous"/>
          <w:pgSz w:w="17280" w:h="12960" w:orient="landscape"/>
          <w:pgMar w:top="240" w:bottom="280" w:left="260" w:right="220"/>
          <w:cols w:num="3" w:equalWidth="0">
            <w:col w:w="4744" w:space="986"/>
            <w:col w:w="5195" w:space="618"/>
            <w:col w:w="5257"/>
          </w:cols>
        </w:sectPr>
      </w:pPr>
    </w:p>
    <w:p>
      <w:pPr>
        <w:spacing w:before="133"/>
        <w:ind w:left="5759" w:right="5768" w:firstLine="0"/>
        <w:jc w:val="center"/>
        <w:rPr>
          <w:rFonts w:ascii="Gill Sans MT"/>
          <w:sz w:val="20"/>
        </w:rPr>
      </w:pPr>
      <w:r>
        <w:rPr>
          <w:rFonts w:ascii="Gill Sans MT"/>
          <w:color w:val="221F1F"/>
          <w:spacing w:val="-4"/>
          <w:w w:val="105"/>
          <w:sz w:val="20"/>
        </w:rPr>
        <w:t>1/25</w:t>
      </w:r>
    </w:p>
    <w:p>
      <w:pPr>
        <w:pStyle w:val="BodyText"/>
        <w:rPr>
          <w:rFonts w:ascii="Gill Sans MT"/>
        </w:rPr>
      </w:pPr>
    </w:p>
    <w:p>
      <w:pPr>
        <w:pStyle w:val="BodyText"/>
        <w:spacing w:before="131"/>
        <w:rPr>
          <w:rFonts w:ascii="Gill Sans MT"/>
        </w:rPr>
      </w:pPr>
    </w:p>
    <w:p>
      <w:pPr>
        <w:pStyle w:val="BodyText"/>
        <w:ind w:right="1454"/>
        <w:jc w:val="right"/>
      </w:pPr>
      <w:r>
        <w:rPr>
          <w:color w:val="221F1F"/>
          <w:spacing w:val="-2"/>
        </w:rPr>
        <w:t>mississippiable.com</w:t>
      </w:r>
    </w:p>
    <w:sectPr>
      <w:type w:val="continuous"/>
      <w:pgSz w:w="17280" w:h="12960" w:orient="landscape"/>
      <w:pgMar w:top="240" w:bottom="280" w:left="2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skerville BT">
    <w:altName w:val="Baskerville BT"/>
    <w:charset w:val="0"/>
    <w:family w:val="roman"/>
    <w:pitch w:val="variable"/>
  </w:font>
  <w:font w:name="Cyntho Slab Pro">
    <w:altName w:val="Cyntho Slab Pro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17" w:hanging="240"/>
      </w:pPr>
      <w:rPr>
        <w:rFonts w:hint="default" w:ascii="Cyntho Slab Pro" w:hAnsi="Cyntho Slab Pro" w:eastAsia="Cyntho Slab Pro" w:cs="Cyntho Slab Pro"/>
        <w:b w:val="0"/>
        <w:bCs w:val="0"/>
        <w:i w:val="0"/>
        <w:iCs w:val="0"/>
        <w:color w:val="221F1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8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51" w:hanging="172"/>
      </w:pPr>
      <w:rPr>
        <w:rFonts w:hint="default" w:ascii="Cyntho Slab Pro" w:hAnsi="Cyntho Slab Pro" w:eastAsia="Cyntho Slab Pro" w:cs="Cyntho Slab Pro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2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7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9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1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4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6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1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yntho Slab Pro" w:hAnsi="Cyntho Slab Pro" w:eastAsia="Cyntho Slab Pro" w:cs="Cyntho Slab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yntho Slab Pro" w:hAnsi="Cyntho Slab Pro" w:eastAsia="Cyntho Slab Pro" w:cs="Cyntho Slab Pro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Baskerville BT" w:hAnsi="Baskerville BT" w:eastAsia="Baskerville BT" w:cs="Baskerville BT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Baskerville BT" w:hAnsi="Baskerville BT" w:eastAsia="Baskerville BT" w:cs="Baskerville BT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08"/>
    </w:pPr>
    <w:rPr>
      <w:rFonts w:ascii="Baskerville BT" w:hAnsi="Baskerville BT" w:eastAsia="Baskerville BT" w:cs="Baskerville BT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451" w:hanging="172"/>
    </w:pPr>
    <w:rPr>
      <w:rFonts w:ascii="Cyntho Slab Pro" w:hAnsi="Cyntho Slab Pro" w:eastAsia="Cyntho Slab Pro" w:cs="Cyntho Slab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sableinfo@mdrs.ms.gov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ABLE Brochure WORD DOC</dc:title>
  <dcterms:created xsi:type="dcterms:W3CDTF">2025-01-13T22:06:43Z</dcterms:created>
  <dcterms:modified xsi:type="dcterms:W3CDTF">2025-01-13T22:06:43Z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Adobe Illustrator 29.1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17.00</vt:lpwstr>
  </property>
</Properties>
</file>